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锐字云字库大标宋体 1.0" w:hAnsi="锐字云字库大标宋体 1.0" w:eastAsia="锐字云字库大标宋体 1.0" w:cs="锐字云字库大标宋体 1.0"/>
          <w:b/>
          <w:bCs/>
          <w:color w:val="FF0000"/>
          <w:sz w:val="52"/>
          <w:szCs w:val="52"/>
          <w:lang w:eastAsia="zh-CN"/>
        </w:rPr>
      </w:pPr>
      <w:r>
        <w:rPr>
          <w:rFonts w:hint="eastAsia" w:ascii="锐字云字库大标宋体 1.0" w:hAnsi="锐字云字库大标宋体 1.0" w:eastAsia="锐字云字库大标宋体 1.0" w:cs="锐字云字库大标宋体 1.0"/>
          <w:b/>
          <w:bCs/>
          <w:color w:val="FF0000"/>
          <w:sz w:val="52"/>
          <w:szCs w:val="52"/>
          <w:lang w:eastAsia="zh-CN"/>
        </w:rPr>
        <w:t>中国人生科学学会学生发展指导专委会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锐字云字库大标宋体 1.0" w:hAnsi="锐字云字库大标宋体 1.0" w:eastAsia="锐字云字库大标宋体 1.0" w:cs="锐字云字库大标宋体 1.0"/>
          <w:b/>
          <w:bCs/>
          <w:color w:val="FF0000"/>
          <w:sz w:val="52"/>
          <w:szCs w:val="52"/>
          <w:lang w:eastAsia="zh-CN"/>
        </w:rPr>
      </w:pPr>
      <w:r>
        <w:rPr>
          <w:rFonts w:hint="eastAsia" w:ascii="锐字云字库大标宋体 1.0" w:hAnsi="锐字云字库大标宋体 1.0" w:eastAsia="锐字云字库大标宋体 1.0" w:cs="锐字云字库大标宋体 1.0"/>
          <w:b/>
          <w:bCs/>
          <w:color w:val="FF0000"/>
          <w:sz w:val="52"/>
          <w:szCs w:val="52"/>
          <w:lang w:eastAsia="zh-CN"/>
        </w:rPr>
        <w:t>中国智慧工程研究会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锐字云字库大标宋体 1.0" w:hAnsi="锐字云字库大标宋体 1.0" w:eastAsia="锐字云字库大标宋体 1.0" w:cs="锐字云字库大标宋体 1.0"/>
          <w:b/>
          <w:bCs/>
          <w:sz w:val="48"/>
          <w:szCs w:val="48"/>
          <w:lang w:val="en-US" w:eastAsia="zh-CN"/>
        </w:rPr>
      </w:pPr>
      <w:r>
        <w:rPr>
          <w:rFonts w:hint="eastAsia" w:ascii="锐字云字库大标宋体 1.0" w:hAnsi="锐字云字库大标宋体 1.0" w:eastAsia="锐字云字库大标宋体 1.0" w:cs="锐字云字库大标宋体 1.0"/>
          <w:b/>
          <w:bCs/>
          <w:color w:val="FF0000"/>
          <w:sz w:val="52"/>
          <w:szCs w:val="52"/>
          <w:lang w:eastAsia="zh-CN"/>
        </w:rPr>
        <w:t>中国学校生涯规划教育网</w:t>
      </w:r>
    </w:p>
    <w:p>
      <w:pPr>
        <w:jc w:val="center"/>
        <w:rPr>
          <w:rFonts w:hint="eastAsia" w:ascii="楷体" w:hAnsi="楷体" w:eastAsia="楷体" w:cs="楷体"/>
          <w:b/>
          <w:bCs/>
          <w:sz w:val="36"/>
          <w:szCs w:val="36"/>
          <w:lang w:eastAsia="zh-CN"/>
        </w:rPr>
      </w:pPr>
      <w:r>
        <w:rPr>
          <w:rFonts w:hint="eastAsia" w:ascii="锐字云字库小标宋体1.0" w:hAnsi="锐字云字库小标宋体1.0" w:eastAsia="锐字云字库小标宋体1.0" w:cs="锐字云字库小标宋体1.0"/>
          <w:b/>
          <w:bCs/>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22225</wp:posOffset>
                </wp:positionV>
                <wp:extent cx="5848350" cy="9525"/>
                <wp:effectExtent l="0" t="0" r="0" b="0"/>
                <wp:wrapNone/>
                <wp:docPr id="1" name="Line 2"/>
                <wp:cNvGraphicFramePr/>
                <a:graphic xmlns:a="http://schemas.openxmlformats.org/drawingml/2006/main">
                  <a:graphicData uri="http://schemas.microsoft.com/office/word/2010/wordprocessingShape">
                    <wps:wsp>
                      <wps:cNvCnPr/>
                      <wps:spPr>
                        <a:xfrm>
                          <a:off x="0" y="0"/>
                          <a:ext cx="584835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2.15pt;margin-top:1.75pt;height:0.75pt;width:460.5pt;z-index:251660288;mso-width-relative:page;mso-height-relative:page;" filled="f" stroked="t" coordsize="21600,21600" o:gfxdata="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5Zmu1gAAAAYBAAAPAAAAAAAAAAEAIAAAACIAAABkcnMvZG93bnJl&#10;di54bWxQSwECFAAUAAAACACHTuJAXMb0tMYBAACPAwAADgAAAAAAAAABACAAAAAlAQAAZHJzL2Uy&#10;b0RvYy54bWxQSwUGAAAAAAYABgBZAQAAXQUAAAAA&#10;">
                <v:fill on="f" focussize="0,0"/>
                <v:stroke weight="2.25pt" color="#FF0000" joinstyle="round"/>
                <v:imagedata o:title=""/>
                <o:lock v:ext="edit" aspectratio="f"/>
              </v:line>
            </w:pict>
          </mc:Fallback>
        </mc:AlternateContent>
      </w:r>
      <w:r>
        <w:rPr>
          <w:rFonts w:hint="eastAsia" w:ascii="楷体" w:hAnsi="楷体" w:eastAsia="楷体" w:cs="楷体"/>
          <w:b/>
          <w:bCs/>
          <w:sz w:val="36"/>
          <w:szCs w:val="36"/>
          <w:lang w:val="en-US" w:eastAsia="zh-CN"/>
        </w:rPr>
        <w:t>关于开展“</w:t>
      </w:r>
      <w:r>
        <w:rPr>
          <w:rFonts w:hint="eastAsia" w:ascii="楷体" w:hAnsi="楷体" w:eastAsia="楷体" w:cs="楷体"/>
          <w:b/>
          <w:bCs/>
          <w:sz w:val="36"/>
          <w:szCs w:val="36"/>
          <w:lang w:eastAsia="zh-CN"/>
        </w:rPr>
        <w:t>首届中学两岸三地生涯规划教育论坛”</w:t>
      </w:r>
    </w:p>
    <w:p>
      <w:pPr>
        <w:jc w:val="both"/>
        <w:rPr>
          <w:rFonts w:hint="eastAsia" w:ascii="楷体" w:hAnsi="楷体" w:eastAsia="楷体" w:cs="楷体"/>
          <w:b/>
          <w:bCs/>
          <w:sz w:val="48"/>
          <w:szCs w:val="48"/>
          <w:lang w:eastAsia="zh-CN"/>
        </w:rPr>
      </w:pPr>
      <w:r>
        <w:rPr>
          <w:rFonts w:hint="eastAsia" w:ascii="楷体" w:hAnsi="楷体" w:eastAsia="楷体" w:cs="楷体"/>
          <w:b/>
          <w:bCs/>
          <w:sz w:val="36"/>
          <w:szCs w:val="36"/>
          <w:lang w:val="en-US" w:eastAsia="zh-CN"/>
        </w:rPr>
        <w:t xml:space="preserve">                  </w:t>
      </w:r>
      <w:r>
        <w:rPr>
          <w:rFonts w:hint="eastAsia" w:ascii="楷体" w:hAnsi="楷体" w:eastAsia="楷体" w:cs="楷体"/>
          <w:b/>
          <w:bCs/>
          <w:sz w:val="36"/>
          <w:szCs w:val="36"/>
          <w:lang w:eastAsia="zh-CN"/>
        </w:rPr>
        <w:t>通</w:t>
      </w:r>
      <w:r>
        <w:rPr>
          <w:rFonts w:hint="eastAsia" w:ascii="楷体" w:hAnsi="楷体" w:eastAsia="楷体" w:cs="楷体"/>
          <w:b/>
          <w:bCs/>
          <w:sz w:val="36"/>
          <w:szCs w:val="36"/>
          <w:lang w:val="en-US" w:eastAsia="zh-CN"/>
        </w:rPr>
        <w:t xml:space="preserve">       </w:t>
      </w:r>
      <w:r>
        <w:rPr>
          <w:rFonts w:hint="eastAsia" w:ascii="楷体" w:hAnsi="楷体" w:eastAsia="楷体" w:cs="楷体"/>
          <w:b/>
          <w:bCs/>
          <w:sz w:val="36"/>
          <w:szCs w:val="36"/>
          <w:lang w:eastAsia="zh-CN"/>
        </w:rPr>
        <w:t>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各教育局、初、高中学校：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jc w:val="both"/>
        <w:textAlignment w:val="auto"/>
        <w:outlineLvl w:val="9"/>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生涯教育是以学生发展为本，既着眼于学生当下生活，又着眼于学生未来发展的教育，是育人的新视角、新途径，是提高德育实效性的突破口，是学生成长的动力引擎。以目标为牵引，以责任感、使命感为动力，激发学生</w:t>
      </w:r>
      <w:r>
        <w:rPr>
          <w:rFonts w:hint="eastAsia" w:ascii="楷体_GB2312" w:hAnsi="楷体_GB2312" w:eastAsia="楷体_GB2312" w:cs="楷体_GB2312"/>
          <w:b w:val="0"/>
          <w:bCs w:val="0"/>
          <w:sz w:val="24"/>
          <w:szCs w:val="24"/>
          <w:lang w:val="en-US" w:eastAsia="zh-CN"/>
        </w:rPr>
        <w:t>自主</w:t>
      </w:r>
      <w:r>
        <w:rPr>
          <w:rFonts w:hint="eastAsia" w:ascii="楷体_GB2312" w:hAnsi="楷体_GB2312" w:eastAsia="楷体_GB2312" w:cs="楷体_GB2312"/>
          <w:b w:val="0"/>
          <w:bCs w:val="0"/>
          <w:sz w:val="24"/>
          <w:szCs w:val="24"/>
          <w:lang w:eastAsia="zh-CN"/>
        </w:rPr>
        <w:t>意识，引领学生主动发展、为未来职业发展打下良好基础。</w:t>
      </w:r>
      <w:r>
        <w:rPr>
          <w:rFonts w:hint="eastAsia" w:ascii="楷体_GB2312" w:hAnsi="楷体_GB2312" w:eastAsia="楷体_GB2312" w:cs="楷体_GB2312"/>
          <w:b w:val="0"/>
          <w:bCs w:val="0"/>
          <w:sz w:val="24"/>
          <w:szCs w:val="24"/>
          <w:lang w:val="en-US" w:eastAsia="zh-CN"/>
        </w:rPr>
        <w:t>目前，</w:t>
      </w:r>
      <w:r>
        <w:rPr>
          <w:rFonts w:hint="eastAsia" w:ascii="楷体_GB2312" w:hAnsi="楷体_GB2312" w:eastAsia="楷体_GB2312" w:cs="楷体_GB2312"/>
          <w:b w:val="0"/>
          <w:bCs w:val="0"/>
          <w:sz w:val="24"/>
          <w:szCs w:val="24"/>
          <w:lang w:eastAsia="zh-CN"/>
        </w:rPr>
        <w:t>我国中学的生涯规划教育刚刚处在启蒙状态，从生涯研究、生涯教师、生涯课程、生涯体验等</w:t>
      </w:r>
      <w:r>
        <w:rPr>
          <w:rFonts w:hint="eastAsia" w:ascii="楷体_GB2312" w:hAnsi="楷体_GB2312" w:eastAsia="楷体_GB2312" w:cs="楷体_GB2312"/>
          <w:b w:val="0"/>
          <w:bCs w:val="0"/>
          <w:sz w:val="24"/>
          <w:szCs w:val="24"/>
          <w:lang w:val="en-US" w:eastAsia="zh-CN"/>
        </w:rPr>
        <w:t>均</w:t>
      </w:r>
      <w:r>
        <w:rPr>
          <w:rFonts w:hint="eastAsia" w:ascii="楷体_GB2312" w:hAnsi="楷体_GB2312" w:eastAsia="楷体_GB2312" w:cs="楷体_GB2312"/>
          <w:b w:val="0"/>
          <w:bCs w:val="0"/>
          <w:sz w:val="24"/>
          <w:szCs w:val="24"/>
          <w:lang w:eastAsia="zh-CN"/>
        </w:rPr>
        <w:t>成为学校</w:t>
      </w:r>
      <w:r>
        <w:rPr>
          <w:rFonts w:hint="eastAsia" w:ascii="楷体_GB2312" w:hAnsi="楷体_GB2312" w:eastAsia="楷体_GB2312" w:cs="楷体_GB2312"/>
          <w:b w:val="0"/>
          <w:bCs w:val="0"/>
          <w:sz w:val="24"/>
          <w:szCs w:val="24"/>
          <w:lang w:val="en-US" w:eastAsia="zh-CN"/>
        </w:rPr>
        <w:t>开展</w:t>
      </w:r>
      <w:r>
        <w:rPr>
          <w:rFonts w:hint="eastAsia" w:ascii="楷体_GB2312" w:hAnsi="楷体_GB2312" w:eastAsia="楷体_GB2312" w:cs="楷体_GB2312"/>
          <w:b w:val="0"/>
          <w:bCs w:val="0"/>
          <w:sz w:val="24"/>
          <w:szCs w:val="24"/>
          <w:lang w:eastAsia="zh-CN"/>
        </w:rPr>
        <w:t>生涯教育的困惑所在。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jc w:val="both"/>
        <w:textAlignment w:val="auto"/>
        <w:outlineLvl w:val="9"/>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台湾为了适应地区发展需要，提高国民素质和地区竞争力，对教育进行了大胆的改革，其中将在基础教育阶段实施生涯规划教育作为教育改革的重要内容。台湾</w:t>
      </w:r>
      <w:r>
        <w:rPr>
          <w:rFonts w:hint="eastAsia" w:ascii="楷体_GB2312" w:hAnsi="楷体_GB2312" w:eastAsia="楷体_GB2312" w:cs="楷体_GB2312"/>
          <w:b w:val="0"/>
          <w:bCs w:val="0"/>
          <w:sz w:val="24"/>
          <w:szCs w:val="24"/>
        </w:rPr>
        <w:t>中学阶段则采取了形式多样的生涯辅导，有专门的生涯教育课程，还有个别辅导、团体辅导等。另外，许多高中在录取初中生时会将职业生涯课程作为成绩的参考标准之一。大学录取学生时，除了高考分数外，还需要经过面试的程序，其中一项是自传，内容必须包括自己对未来职业的规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jc w:val="both"/>
        <w:textAlignment w:val="auto"/>
        <w:outlineLvl w:val="9"/>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rPr>
        <w:t>面对世界范围内由知识经济、信息技术革新带来的巨大变化,香港教育致力于发展学生的知识、适应力和创造力,培养学生独立思考和终身学习的能力,旨在为学生将来作出明智的生涯选择、充分利用机遇做准备。</w:t>
      </w:r>
      <w:r>
        <w:rPr>
          <w:rFonts w:hint="eastAsia" w:ascii="楷体_GB2312" w:hAnsi="楷体_GB2312" w:eastAsia="楷体_GB2312" w:cs="楷体_GB2312"/>
          <w:b w:val="0"/>
          <w:bCs w:val="0"/>
          <w:sz w:val="24"/>
          <w:szCs w:val="24"/>
          <w:lang w:eastAsia="zh-CN"/>
        </w:rPr>
        <w:t>香港</w:t>
      </w:r>
      <w:r>
        <w:rPr>
          <w:rFonts w:hint="eastAsia" w:ascii="楷体_GB2312" w:hAnsi="楷体_GB2312" w:eastAsia="楷体_GB2312" w:cs="楷体_GB2312"/>
          <w:b w:val="0"/>
          <w:bCs w:val="0"/>
          <w:sz w:val="24"/>
          <w:szCs w:val="24"/>
        </w:rPr>
        <w:t>中学的</w:t>
      </w:r>
      <w:r>
        <w:rPr>
          <w:rFonts w:hint="eastAsia" w:ascii="楷体_GB2312" w:hAnsi="楷体_GB2312" w:eastAsia="楷体_GB2312" w:cs="楷体_GB2312"/>
          <w:b w:val="0"/>
          <w:bCs w:val="0"/>
          <w:sz w:val="24"/>
          <w:szCs w:val="24"/>
          <w:lang w:eastAsia="zh-CN"/>
        </w:rPr>
        <w:t>生涯</w:t>
      </w:r>
      <w:r>
        <w:rPr>
          <w:rFonts w:hint="eastAsia" w:ascii="楷体_GB2312" w:hAnsi="楷体_GB2312" w:eastAsia="楷体_GB2312" w:cs="楷体_GB2312"/>
          <w:b w:val="0"/>
          <w:bCs w:val="0"/>
          <w:sz w:val="24"/>
          <w:szCs w:val="24"/>
        </w:rPr>
        <w:t>教育包括校内升学就业辅导服务、升学就业策划、参考资料、协助孩子制定升学就业计划、暑期工五个方面。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jc w:val="both"/>
        <w:textAlignment w:val="auto"/>
        <w:outlineLvl w:val="9"/>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rPr>
        <w:t>为了解决</w:t>
      </w:r>
      <w:r>
        <w:rPr>
          <w:rFonts w:hint="eastAsia" w:ascii="楷体_GB2312" w:hAnsi="楷体_GB2312" w:eastAsia="楷体_GB2312" w:cs="楷体_GB2312"/>
          <w:b w:val="0"/>
          <w:bCs w:val="0"/>
          <w:sz w:val="24"/>
          <w:szCs w:val="24"/>
          <w:lang w:eastAsia="zh-CN"/>
        </w:rPr>
        <w:t>各中学</w:t>
      </w:r>
      <w:r>
        <w:rPr>
          <w:rFonts w:hint="eastAsia" w:ascii="楷体_GB2312" w:hAnsi="楷体_GB2312" w:eastAsia="楷体_GB2312" w:cs="楷体_GB2312"/>
          <w:b w:val="0"/>
          <w:bCs w:val="0"/>
          <w:sz w:val="24"/>
          <w:szCs w:val="24"/>
        </w:rPr>
        <w:t>生涯规划教育的实际问题，贯彻《国家中长期教育改革和发展规划纲要(2010-2020年)》：“建立学生发展指导制度，加强对学生的理想、心理、学业等多方面指导”等文件精神，</w:t>
      </w:r>
      <w:r>
        <w:rPr>
          <w:rFonts w:hint="eastAsia" w:ascii="楷体_GB2312" w:hAnsi="楷体_GB2312" w:eastAsia="楷体_GB2312" w:cs="楷体_GB2312"/>
          <w:b w:val="0"/>
          <w:bCs w:val="0"/>
          <w:sz w:val="24"/>
          <w:szCs w:val="24"/>
          <w:lang w:eastAsia="zh-CN"/>
        </w:rPr>
        <w:t>深度学习台湾、香港学校的生涯规划教育，中国人生科学学会学生发展指导专委会、</w:t>
      </w:r>
      <w:r>
        <w:rPr>
          <w:rFonts w:hint="eastAsia" w:ascii="楷体_GB2312" w:hAnsi="楷体_GB2312" w:eastAsia="楷体_GB2312" w:cs="楷体_GB2312"/>
          <w:b w:val="0"/>
          <w:bCs w:val="0"/>
          <w:sz w:val="24"/>
          <w:szCs w:val="24"/>
        </w:rPr>
        <w:t>中国智慧工程研究会</w:t>
      </w:r>
      <w:r>
        <w:rPr>
          <w:rFonts w:hint="eastAsia" w:ascii="楷体_GB2312" w:hAnsi="楷体_GB2312" w:eastAsia="楷体_GB2312" w:cs="楷体_GB2312"/>
          <w:b w:val="0"/>
          <w:bCs w:val="0"/>
          <w:sz w:val="24"/>
          <w:szCs w:val="24"/>
          <w:lang w:eastAsia="zh-CN"/>
        </w:rPr>
        <w:t>生涯教育总课题组</w:t>
      </w:r>
      <w:r>
        <w:rPr>
          <w:rFonts w:hint="eastAsia" w:ascii="楷体_GB2312" w:hAnsi="楷体_GB2312" w:eastAsia="楷体_GB2312" w:cs="楷体_GB2312"/>
          <w:b w:val="0"/>
          <w:bCs w:val="0"/>
          <w:sz w:val="24"/>
          <w:szCs w:val="24"/>
        </w:rPr>
        <w:t>、中国学校生涯规划教育网于2016年</w:t>
      </w:r>
      <w:r>
        <w:rPr>
          <w:rFonts w:hint="eastAsia" w:ascii="楷体_GB2312" w:hAnsi="楷体_GB2312" w:eastAsia="楷体_GB2312" w:cs="楷体_GB2312"/>
          <w:b w:val="0"/>
          <w:bCs w:val="0"/>
          <w:sz w:val="24"/>
          <w:szCs w:val="24"/>
          <w:lang w:val="en-US" w:eastAsia="zh-CN"/>
        </w:rPr>
        <w:t>12</w:t>
      </w:r>
      <w:r>
        <w:rPr>
          <w:rFonts w:hint="eastAsia" w:ascii="楷体_GB2312" w:hAnsi="楷体_GB2312" w:eastAsia="楷体_GB2312" w:cs="楷体_GB2312"/>
          <w:b w:val="0"/>
          <w:bCs w:val="0"/>
          <w:sz w:val="24"/>
          <w:szCs w:val="24"/>
        </w:rPr>
        <w:t>月</w:t>
      </w:r>
      <w:r>
        <w:rPr>
          <w:rFonts w:hint="eastAsia" w:ascii="楷体_GB2312" w:hAnsi="楷体_GB2312" w:eastAsia="楷体_GB2312" w:cs="楷体_GB2312"/>
          <w:b w:val="0"/>
          <w:bCs w:val="0"/>
          <w:sz w:val="24"/>
          <w:szCs w:val="24"/>
          <w:lang w:val="en-US" w:eastAsia="zh-CN"/>
        </w:rPr>
        <w:t>11-15</w:t>
      </w:r>
      <w:r>
        <w:rPr>
          <w:rFonts w:hint="eastAsia" w:ascii="楷体_GB2312" w:hAnsi="楷体_GB2312" w:eastAsia="楷体_GB2312" w:cs="楷体_GB2312"/>
          <w:b w:val="0"/>
          <w:bCs w:val="0"/>
          <w:sz w:val="24"/>
          <w:szCs w:val="24"/>
        </w:rPr>
        <w:t>日在</w:t>
      </w:r>
      <w:r>
        <w:rPr>
          <w:rFonts w:hint="eastAsia" w:ascii="楷体_GB2312" w:hAnsi="楷体_GB2312" w:eastAsia="楷体_GB2312" w:cs="楷体_GB2312"/>
          <w:b w:val="0"/>
          <w:bCs w:val="0"/>
          <w:sz w:val="24"/>
          <w:szCs w:val="24"/>
          <w:lang w:eastAsia="zh-CN"/>
        </w:rPr>
        <w:t>深圳</w:t>
      </w:r>
      <w:r>
        <w:rPr>
          <w:rFonts w:hint="eastAsia" w:ascii="楷体_GB2312" w:hAnsi="楷体_GB2312" w:eastAsia="楷体_GB2312" w:cs="楷体_GB2312"/>
          <w:b w:val="0"/>
          <w:bCs w:val="0"/>
          <w:sz w:val="24"/>
          <w:szCs w:val="24"/>
        </w:rPr>
        <w:t>联合召开</w:t>
      </w:r>
      <w:r>
        <w:rPr>
          <w:rFonts w:hint="eastAsia" w:ascii="楷体_GB2312" w:hAnsi="楷体_GB2312" w:eastAsia="楷体_GB2312" w:cs="楷体_GB2312"/>
          <w:b w:val="0"/>
          <w:bCs w:val="0"/>
          <w:sz w:val="24"/>
          <w:szCs w:val="24"/>
          <w:lang w:eastAsia="zh-CN"/>
        </w:rPr>
        <w:t>“首届中学两岸三地生涯规划教育论坛”</w:t>
      </w:r>
      <w:r>
        <w:rPr>
          <w:rFonts w:hint="eastAsia" w:ascii="楷体_GB2312" w:hAnsi="楷体_GB2312" w:eastAsia="楷体_GB2312" w:cs="楷体_GB2312"/>
          <w:b w:val="0"/>
          <w:bCs w:val="0"/>
          <w:sz w:val="24"/>
          <w:szCs w:val="24"/>
        </w:rPr>
        <w:t>。</w:t>
      </w:r>
      <w:r>
        <w:rPr>
          <w:rFonts w:hint="eastAsia" w:ascii="楷体_GB2312" w:hAnsi="楷体_GB2312" w:eastAsia="楷体_GB2312" w:cs="楷体_GB2312"/>
          <w:b w:val="0"/>
          <w:bCs w:val="0"/>
          <w:sz w:val="24"/>
          <w:szCs w:val="24"/>
          <w:lang w:eastAsia="zh-CN"/>
        </w:rPr>
        <w:t>届时，组委会将安排</w:t>
      </w:r>
      <w:r>
        <w:rPr>
          <w:rFonts w:hint="eastAsia" w:ascii="楷体_GB2312" w:hAnsi="楷体_GB2312" w:eastAsia="楷体_GB2312" w:cs="楷体_GB2312"/>
          <w:b/>
          <w:bCs/>
          <w:sz w:val="24"/>
          <w:szCs w:val="24"/>
          <w:lang w:eastAsia="zh-CN"/>
        </w:rPr>
        <w:t>参会代表到深圳中学、香港</w:t>
      </w:r>
      <w:r>
        <w:rPr>
          <w:rFonts w:hint="eastAsia" w:ascii="楷体_GB2312" w:hAnsi="楷体_GB2312" w:eastAsia="楷体_GB2312" w:cs="楷体_GB2312"/>
          <w:b/>
          <w:bCs/>
          <w:sz w:val="24"/>
          <w:szCs w:val="24"/>
          <w:lang w:val="en-US" w:eastAsia="zh-CN"/>
        </w:rPr>
        <w:t>胡陈金枝中学进行实地参观考察</w:t>
      </w:r>
      <w:r>
        <w:rPr>
          <w:rFonts w:hint="eastAsia" w:ascii="楷体_GB2312" w:hAnsi="楷体_GB2312" w:eastAsia="楷体_GB2312" w:cs="楷体_GB2312"/>
          <w:b w:val="0"/>
          <w:bCs w:val="0"/>
          <w:sz w:val="24"/>
          <w:szCs w:val="24"/>
          <w:lang w:val="en-US" w:eastAsia="zh-CN"/>
        </w:rPr>
        <w:t>，在香港</w:t>
      </w:r>
      <w:r>
        <w:rPr>
          <w:rFonts w:hint="eastAsia" w:ascii="楷体_GB2312" w:hAnsi="楷体_GB2312" w:eastAsia="楷体_GB2312" w:cs="楷体_GB2312"/>
          <w:b/>
          <w:bCs/>
          <w:sz w:val="24"/>
          <w:szCs w:val="24"/>
          <w:lang w:val="en-US" w:eastAsia="zh-CN"/>
        </w:rPr>
        <w:t>胡陈金枝中学举行中港友好学校缔结仪式。</w:t>
      </w:r>
      <w:r>
        <w:rPr>
          <w:rFonts w:hint="eastAsia" w:ascii="楷体_GB2312" w:hAnsi="楷体_GB2312" w:eastAsia="楷体_GB2312" w:cs="楷体_GB2312"/>
          <w:b w:val="0"/>
          <w:bCs w:val="0"/>
          <w:sz w:val="24"/>
          <w:szCs w:val="24"/>
          <w:lang w:val="en-US" w:eastAsia="zh-CN"/>
        </w:rPr>
        <w:t>此次活动，将</w:t>
      </w:r>
      <w:r>
        <w:rPr>
          <w:rFonts w:hint="eastAsia" w:ascii="楷体_GB2312" w:hAnsi="楷体_GB2312" w:eastAsia="楷体_GB2312" w:cs="楷体_GB2312"/>
          <w:b w:val="0"/>
          <w:bCs w:val="0"/>
          <w:sz w:val="24"/>
          <w:szCs w:val="24"/>
          <w:lang w:eastAsia="zh-CN"/>
        </w:rPr>
        <w:t>为</w:t>
      </w:r>
      <w:r>
        <w:rPr>
          <w:rFonts w:hint="eastAsia" w:ascii="楷体_GB2312" w:hAnsi="楷体_GB2312" w:eastAsia="楷体_GB2312" w:cs="楷体_GB2312"/>
          <w:b w:val="0"/>
          <w:bCs w:val="0"/>
          <w:sz w:val="24"/>
          <w:szCs w:val="24"/>
          <w:lang w:val="en-US" w:eastAsia="zh-CN"/>
        </w:rPr>
        <w:t>我国中学更好的开展</w:t>
      </w:r>
      <w:r>
        <w:rPr>
          <w:rFonts w:hint="eastAsia" w:ascii="楷体_GB2312" w:hAnsi="楷体_GB2312" w:eastAsia="楷体_GB2312" w:cs="楷体_GB2312"/>
          <w:b w:val="0"/>
          <w:bCs w:val="0"/>
          <w:sz w:val="24"/>
          <w:szCs w:val="24"/>
          <w:lang w:eastAsia="zh-CN"/>
        </w:rPr>
        <w:t>生涯教育提供</w:t>
      </w:r>
      <w:r>
        <w:rPr>
          <w:rFonts w:hint="eastAsia" w:ascii="楷体_GB2312" w:hAnsi="楷体_GB2312" w:eastAsia="楷体_GB2312" w:cs="楷体_GB2312"/>
          <w:b w:val="0"/>
          <w:bCs w:val="0"/>
          <w:sz w:val="24"/>
          <w:szCs w:val="24"/>
          <w:lang w:val="en-US" w:eastAsia="zh-CN"/>
        </w:rPr>
        <w:t>参考</w:t>
      </w:r>
      <w:r>
        <w:rPr>
          <w:rFonts w:hint="eastAsia" w:ascii="楷体_GB2312" w:hAnsi="楷体_GB2312" w:eastAsia="楷体_GB2312" w:cs="楷体_GB2312"/>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jc w:val="both"/>
        <w:textAlignment w:val="auto"/>
        <w:outlineLvl w:val="9"/>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有关事宜如下：</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主办单位：</w:t>
      </w:r>
      <w:r>
        <w:rPr>
          <w:rFonts w:hint="eastAsia" w:ascii="楷体_GB2312" w:hAnsi="楷体_GB2312" w:eastAsia="楷体_GB2312" w:cs="楷体_GB2312"/>
          <w:b/>
          <w:bCs/>
          <w:sz w:val="24"/>
          <w:szCs w:val="24"/>
          <w:lang w:eastAsia="zh-CN"/>
        </w:rPr>
        <w:t>中国人生科学学会学生发展指导专</w:t>
      </w:r>
      <w:r>
        <w:rPr>
          <w:rFonts w:hint="eastAsia" w:ascii="楷体_GB2312" w:hAnsi="楷体_GB2312" w:eastAsia="楷体_GB2312" w:cs="楷体_GB2312"/>
          <w:b/>
          <w:bCs/>
          <w:sz w:val="24"/>
          <w:szCs w:val="24"/>
          <w:lang w:val="en-US" w:eastAsia="zh-CN"/>
        </w:rPr>
        <w:t>业委员会</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rPr>
        <w:t>中国智慧工程研究会</w:t>
      </w:r>
      <w:r>
        <w:rPr>
          <w:rFonts w:hint="eastAsia" w:ascii="楷体_GB2312" w:hAnsi="楷体_GB2312" w:eastAsia="楷体_GB2312" w:cs="楷体_GB2312"/>
          <w:b/>
          <w:bCs/>
          <w:sz w:val="24"/>
          <w:szCs w:val="24"/>
          <w:lang w:eastAsia="zh-CN"/>
        </w:rPr>
        <w:t>生涯教育研究总课题组</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 xml:space="preserve">          中国学校生涯规划教育网</w:t>
      </w:r>
    </w:p>
    <w:p>
      <w:p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协办单位：</w:t>
      </w:r>
      <w:r>
        <w:rPr>
          <w:rFonts w:hint="eastAsia" w:ascii="楷体_GB2312" w:hAnsi="楷体_GB2312" w:eastAsia="楷体_GB2312" w:cs="楷体_GB2312"/>
          <w:b/>
          <w:bCs/>
          <w:sz w:val="24"/>
          <w:szCs w:val="24"/>
          <w:lang w:eastAsia="zh-CN"/>
        </w:rPr>
        <w:t>深圳市首批教育科研专家刘会金工作室</w:t>
      </w:r>
      <w:r>
        <w:rPr>
          <w:rFonts w:hint="eastAsia" w:ascii="楷体_GB2312" w:hAnsi="楷体_GB2312" w:eastAsia="楷体_GB2312" w:cs="楷体_GB2312"/>
          <w:b/>
          <w:bCs/>
          <w:sz w:val="24"/>
          <w:szCs w:val="24"/>
          <w:lang w:val="en-US" w:eastAsia="zh-CN"/>
        </w:rPr>
        <w:t xml:space="preserve"> </w:t>
      </w:r>
    </w:p>
    <w:p>
      <w:p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 xml:space="preserve">          北京成长智慧教育科技有限公司</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 xml:space="preserve">学术支持：中国新教育研修网 </w:t>
      </w: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lang w:eastAsia="zh-CN"/>
        </w:rPr>
        <w:t>台</w:t>
      </w:r>
      <w:r>
        <w:rPr>
          <w:rFonts w:hint="eastAsia" w:ascii="楷体_GB2312" w:hAnsi="楷体_GB2312" w:eastAsia="楷体_GB2312" w:cs="楷体_GB2312"/>
          <w:b/>
          <w:bCs/>
          <w:sz w:val="24"/>
          <w:szCs w:val="24"/>
        </w:rPr>
        <w:t>湾生涯发展与咨询学会</w:t>
      </w:r>
      <w:r>
        <w:rPr>
          <w:rFonts w:hint="eastAsia" w:ascii="楷体_GB2312" w:hAnsi="楷体_GB2312" w:eastAsia="楷体_GB2312" w:cs="楷体_GB2312"/>
          <w:b/>
          <w:bCs/>
          <w:sz w:val="24"/>
          <w:szCs w:val="24"/>
          <w:lang w:val="en-US" w:eastAsia="zh-CN"/>
        </w:rPr>
        <w:t xml:space="preserve">  香港教师学会  </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一、研讨目标</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加强学校对生涯规划教育理论和实践操作的认识，帮助学校更好地掌握生涯规划教育管理的建设体系和能力，提升其专业素养与研究创新能力，从尝试型到实用型的转变。</w:t>
      </w:r>
    </w:p>
    <w:p>
      <w:pP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二、研讨主要内容</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color w:val="000000"/>
          <w:sz w:val="24"/>
          <w:szCs w:val="24"/>
        </w:rPr>
        <w:t xml:space="preserve">  </w:t>
      </w:r>
      <w:r>
        <w:rPr>
          <w:rFonts w:hint="eastAsia" w:ascii="楷体_GB2312" w:hAnsi="楷体_GB2312" w:eastAsia="楷体_GB2312" w:cs="楷体_GB2312"/>
          <w:sz w:val="24"/>
          <w:szCs w:val="24"/>
        </w:rPr>
        <w:t xml:space="preserve"> 1、</w:t>
      </w:r>
      <w:r>
        <w:rPr>
          <w:rFonts w:hint="eastAsia" w:ascii="楷体_GB2312" w:hAnsi="楷体_GB2312" w:eastAsia="楷体_GB2312" w:cs="楷体_GB2312"/>
          <w:b/>
          <w:bCs/>
          <w:sz w:val="24"/>
          <w:szCs w:val="24"/>
          <w:lang w:eastAsia="zh-CN"/>
        </w:rPr>
        <w:t>港台生涯</w:t>
      </w:r>
      <w:r>
        <w:rPr>
          <w:rFonts w:hint="eastAsia" w:ascii="楷体_GB2312" w:hAnsi="楷体_GB2312" w:eastAsia="楷体_GB2312" w:cs="楷体_GB2312"/>
          <w:b/>
          <w:bCs/>
          <w:sz w:val="24"/>
          <w:szCs w:val="24"/>
        </w:rPr>
        <w:t xml:space="preserve">专家讲座 </w:t>
      </w:r>
    </w:p>
    <w:p>
      <w:p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 xml:space="preserve">    台湾地区生涯规划教育的成果介绍、经验交流</w:t>
      </w:r>
    </w:p>
    <w:p>
      <w:pPr>
        <w:spacing w:line="380" w:lineRule="exact"/>
        <w:ind w:firstLine="481"/>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香港地区生涯规划教育的成果介绍、经验交流</w:t>
      </w:r>
    </w:p>
    <w:p>
      <w:p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 xml:space="preserve">  2、参观考察</w:t>
      </w:r>
    </w:p>
    <w:p>
      <w:pPr>
        <w:spacing w:line="380" w:lineRule="exact"/>
        <w:ind w:firstLine="481"/>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bCs/>
          <w:sz w:val="24"/>
          <w:szCs w:val="24"/>
          <w:lang w:val="en-US" w:eastAsia="zh-CN"/>
        </w:rPr>
        <w:t>走进深圳中学：</w:t>
      </w:r>
      <w:r>
        <w:rPr>
          <w:rFonts w:hint="eastAsia" w:ascii="楷体_GB2312" w:hAnsi="楷体_GB2312" w:eastAsia="楷体_GB2312" w:cs="楷体_GB2312"/>
          <w:b w:val="0"/>
          <w:bCs w:val="0"/>
          <w:sz w:val="24"/>
          <w:szCs w:val="24"/>
          <w:lang w:val="en-US" w:eastAsia="zh-CN"/>
        </w:rPr>
        <w:t xml:space="preserve">现场观摩生涯规划教育精品课堂(两节)，学习深圳中学生涯教育  </w:t>
      </w:r>
    </w:p>
    <w:p>
      <w:pPr>
        <w:spacing w:line="380" w:lineRule="exact"/>
        <w:ind w:firstLine="481"/>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val="0"/>
          <w:bCs w:val="0"/>
          <w:sz w:val="24"/>
          <w:szCs w:val="24"/>
          <w:lang w:val="en-US" w:eastAsia="zh-CN"/>
        </w:rPr>
        <w:t>成功经验：生涯教育管理制度、教学设计、生涯教师培养策略、生涯社团建设等，</w:t>
      </w:r>
      <w:r>
        <w:rPr>
          <w:rFonts w:hint="eastAsia" w:ascii="楷体_GB2312" w:hAnsi="楷体_GB2312" w:eastAsia="楷体_GB2312" w:cs="楷体_GB2312"/>
          <w:b/>
          <w:bCs/>
          <w:sz w:val="24"/>
          <w:szCs w:val="24"/>
          <w:lang w:val="en-US" w:eastAsia="zh-CN"/>
        </w:rPr>
        <w:t xml:space="preserve"> </w:t>
      </w:r>
    </w:p>
    <w:p>
      <w:pPr>
        <w:spacing w:line="380" w:lineRule="exact"/>
        <w:ind w:firstLine="481"/>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走进香港胡陈金枝中学：</w:t>
      </w:r>
      <w:r>
        <w:rPr>
          <w:rFonts w:hint="eastAsia" w:ascii="楷体_GB2312" w:hAnsi="楷体_GB2312" w:eastAsia="楷体_GB2312" w:cs="楷体_GB2312"/>
          <w:b w:val="0"/>
          <w:bCs w:val="0"/>
          <w:sz w:val="24"/>
          <w:szCs w:val="24"/>
          <w:lang w:val="en-US" w:eastAsia="zh-CN"/>
        </w:rPr>
        <w:t>感受香港学校生涯教育文化与学生发展指导技术。</w:t>
      </w:r>
    </w:p>
    <w:p>
      <w:p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rPr>
        <w:t xml:space="preserve"> </w:t>
      </w:r>
      <w:r>
        <w:rPr>
          <w:rFonts w:hint="eastAsia" w:ascii="楷体_GB2312" w:hAnsi="楷体_GB2312" w:eastAsia="楷体_GB2312" w:cs="楷体_GB2312"/>
          <w:b/>
          <w:bCs/>
          <w:sz w:val="24"/>
          <w:szCs w:val="24"/>
          <w:lang w:val="en-US" w:eastAsia="zh-CN"/>
        </w:rPr>
        <w:t>3、专业能力提升</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eastAsia="zh-CN"/>
        </w:rPr>
        <w:t>初、高中</w:t>
      </w:r>
      <w:r>
        <w:rPr>
          <w:rFonts w:hint="eastAsia" w:ascii="楷体_GB2312" w:hAnsi="楷体_GB2312" w:eastAsia="楷体_GB2312" w:cs="楷体_GB2312"/>
          <w:sz w:val="24"/>
          <w:szCs w:val="24"/>
        </w:rPr>
        <w:t>生涯规划课程的设计与教材开发；</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eastAsia="zh-CN"/>
        </w:rPr>
        <w:t>初、高中</w:t>
      </w:r>
      <w:r>
        <w:rPr>
          <w:rFonts w:hint="eastAsia" w:ascii="楷体_GB2312" w:hAnsi="楷体_GB2312" w:eastAsia="楷体_GB2312" w:cs="楷体_GB2312"/>
          <w:sz w:val="24"/>
          <w:szCs w:val="24"/>
        </w:rPr>
        <w:t>生涯规划教育师资培养策略；</w:t>
      </w:r>
    </w:p>
    <w:p>
      <w:pPr>
        <w:spacing w:line="380" w:lineRule="exact"/>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初、高中</w:t>
      </w:r>
      <w:r>
        <w:rPr>
          <w:rFonts w:hint="eastAsia" w:ascii="楷体_GB2312" w:hAnsi="楷体_GB2312" w:eastAsia="楷体_GB2312" w:cs="楷体_GB2312"/>
          <w:sz w:val="24"/>
          <w:szCs w:val="24"/>
        </w:rPr>
        <w:t>学校生涯社团的组织与实施；</w:t>
      </w:r>
    </w:p>
    <w:p>
      <w:pPr>
        <w:spacing w:line="380" w:lineRule="exact"/>
        <w:ind w:firstLine="48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大数据背景下学校管理网络平台与教师德育评价体系；</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如何让学生了解新形势下的行业变革与职业变化</w:t>
      </w:r>
      <w:r>
        <w:rPr>
          <w:rFonts w:hint="eastAsia" w:ascii="楷体_GB2312" w:hAnsi="楷体_GB2312" w:eastAsia="楷体_GB2312" w:cs="楷体_GB2312"/>
          <w:sz w:val="24"/>
          <w:szCs w:val="24"/>
          <w:lang w:eastAsia="zh-CN"/>
        </w:rPr>
        <w:t>。</w:t>
      </w:r>
    </w:p>
    <w:p>
      <w:pPr>
        <w:spacing w:line="380" w:lineRule="exact"/>
        <w:ind w:firstLine="48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本次研讨</w:t>
      </w:r>
      <w:r>
        <w:rPr>
          <w:rFonts w:hint="eastAsia" w:ascii="楷体_GB2312" w:hAnsi="楷体_GB2312" w:eastAsia="楷体_GB2312" w:cs="楷体_GB2312"/>
          <w:b/>
          <w:bCs/>
          <w:sz w:val="24"/>
          <w:szCs w:val="24"/>
          <w:lang w:val="en-US" w:eastAsia="zh-CN"/>
        </w:rPr>
        <w:t>着眼于</w:t>
      </w:r>
      <w:r>
        <w:rPr>
          <w:rFonts w:hint="eastAsia" w:ascii="楷体_GB2312" w:hAnsi="楷体_GB2312" w:eastAsia="楷体_GB2312" w:cs="楷体_GB2312"/>
          <w:b/>
          <w:bCs/>
          <w:sz w:val="24"/>
          <w:szCs w:val="24"/>
        </w:rPr>
        <w:t>新高考下行政班班级管理功能弱化、教学班班级管理功能单一、行政班与教学班管理易出现缺位等给学校</w:t>
      </w:r>
      <w:r>
        <w:rPr>
          <w:rFonts w:hint="eastAsia" w:ascii="楷体_GB2312" w:hAnsi="楷体_GB2312" w:eastAsia="楷体_GB2312" w:cs="楷体_GB2312"/>
          <w:b/>
          <w:bCs/>
          <w:sz w:val="24"/>
          <w:szCs w:val="24"/>
          <w:lang w:val="en-US" w:eastAsia="zh-CN"/>
        </w:rPr>
        <w:t>德育</w:t>
      </w:r>
      <w:r>
        <w:rPr>
          <w:rFonts w:hint="eastAsia" w:ascii="楷体_GB2312" w:hAnsi="楷体_GB2312" w:eastAsia="楷体_GB2312" w:cs="楷体_GB2312"/>
          <w:b/>
          <w:bCs/>
          <w:sz w:val="24"/>
          <w:szCs w:val="24"/>
        </w:rPr>
        <w:t>管理提出的挑战；提高</w:t>
      </w:r>
      <w:r>
        <w:rPr>
          <w:rFonts w:hint="eastAsia" w:ascii="楷体_GB2312" w:hAnsi="楷体_GB2312" w:eastAsia="楷体_GB2312" w:cs="楷体_GB2312"/>
          <w:b/>
          <w:bCs/>
          <w:sz w:val="24"/>
          <w:szCs w:val="24"/>
          <w:lang w:val="en-US" w:eastAsia="zh-CN"/>
        </w:rPr>
        <w:t>学校</w:t>
      </w:r>
      <w:r>
        <w:rPr>
          <w:rFonts w:hint="eastAsia" w:ascii="楷体_GB2312" w:hAnsi="楷体_GB2312" w:eastAsia="楷体_GB2312" w:cs="楷体_GB2312"/>
          <w:b/>
          <w:bCs/>
          <w:sz w:val="24"/>
          <w:szCs w:val="24"/>
        </w:rPr>
        <w:t>生涯规划教育建设能力，密切联系</w:t>
      </w:r>
      <w:r>
        <w:rPr>
          <w:rFonts w:hint="eastAsia" w:ascii="楷体_GB2312" w:hAnsi="楷体_GB2312" w:eastAsia="楷体_GB2312" w:cs="楷体_GB2312"/>
          <w:b/>
          <w:bCs/>
          <w:sz w:val="24"/>
          <w:szCs w:val="24"/>
          <w:lang w:val="en-US" w:eastAsia="zh-CN"/>
        </w:rPr>
        <w:t>中学</w:t>
      </w:r>
      <w:r>
        <w:rPr>
          <w:rFonts w:hint="eastAsia" w:ascii="楷体_GB2312" w:hAnsi="楷体_GB2312" w:eastAsia="楷体_GB2312" w:cs="楷体_GB2312"/>
          <w:b/>
          <w:bCs/>
          <w:sz w:val="24"/>
          <w:szCs w:val="24"/>
        </w:rPr>
        <w:t>教育教</w:t>
      </w:r>
      <w:r>
        <w:rPr>
          <w:rFonts w:hint="eastAsia" w:ascii="楷体_GB2312" w:hAnsi="楷体_GB2312" w:eastAsia="楷体_GB2312" w:cs="楷体_GB2312"/>
          <w:b/>
          <w:bCs/>
          <w:sz w:val="24"/>
          <w:szCs w:val="24"/>
          <w:lang w:val="en-US" w:eastAsia="zh-CN"/>
        </w:rPr>
        <w:t>学实际</w:t>
      </w:r>
      <w:r>
        <w:rPr>
          <w:rFonts w:hint="eastAsia" w:ascii="楷体_GB2312" w:hAnsi="楷体_GB2312" w:eastAsia="楷体_GB2312" w:cs="楷体_GB2312"/>
          <w:b/>
          <w:bCs/>
          <w:sz w:val="24"/>
          <w:szCs w:val="24"/>
        </w:rPr>
        <w:t>，体现生涯规划教育工作为特色。</w:t>
      </w:r>
    </w:p>
    <w:p>
      <w:pPr>
        <w:numPr>
          <w:ilvl w:val="0"/>
          <w:numId w:val="1"/>
        </w:num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拟定邀请的专家领导介绍</w:t>
      </w:r>
    </w:p>
    <w:p>
      <w:pPr>
        <w:numPr>
          <w:ilvl w:val="0"/>
          <w:numId w:val="0"/>
        </w:numPr>
        <w:spacing w:line="380" w:lineRule="exact"/>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lang w:eastAsia="zh-CN"/>
        </w:rPr>
        <w:t>陈士国：中国人生科学学会副会长、科研规划办主任</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lang w:eastAsia="zh-CN"/>
        </w:rPr>
        <w:t>田秀兰：</w:t>
      </w:r>
      <w:r>
        <w:rPr>
          <w:rFonts w:hint="eastAsia" w:ascii="楷体_GB2312" w:hAnsi="楷体_GB2312" w:eastAsia="楷体_GB2312" w:cs="楷体_GB2312"/>
          <w:sz w:val="24"/>
          <w:szCs w:val="24"/>
        </w:rPr>
        <w:t>台湾生涯发展与咨询学会理事长</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美国爱荷华大学咨询与教育哲学博士</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台湾师范大学教育心理与辅导学系教授、博士生导师兼学务处副学务长、</w:t>
      </w:r>
    </w:p>
    <w:p>
      <w:pPr>
        <w:spacing w:line="380" w:lineRule="exact"/>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学生咨询中心主任</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中等学校辅导活动及生涯规划师资培训教授</w:t>
      </w:r>
    </w:p>
    <w:p>
      <w:pPr>
        <w:spacing w:line="38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 xml:space="preserve">    杨淑涵：</w:t>
      </w:r>
      <w:r>
        <w:rPr>
          <w:rFonts w:hint="eastAsia" w:ascii="楷体" w:hAnsi="楷体" w:eastAsia="楷体" w:cs="楷体"/>
          <w:b w:val="0"/>
          <w:i w:val="0"/>
          <w:caps w:val="0"/>
          <w:color w:val="000000"/>
          <w:spacing w:val="0"/>
          <w:sz w:val="22"/>
          <w:szCs w:val="22"/>
          <w:shd w:val="clear" w:fill="F7FAFD"/>
        </w:rPr>
        <w:t>台北市立中山高级女子中学</w:t>
      </w:r>
      <w:r>
        <w:rPr>
          <w:rFonts w:hint="eastAsia" w:ascii="楷体" w:hAnsi="楷体" w:eastAsia="楷体" w:cs="楷体"/>
          <w:b w:val="0"/>
          <w:i w:val="0"/>
          <w:caps w:val="0"/>
          <w:color w:val="000000"/>
          <w:spacing w:val="0"/>
          <w:sz w:val="22"/>
          <w:szCs w:val="22"/>
          <w:shd w:val="clear" w:fill="F7FAFD"/>
          <w:lang w:eastAsia="zh-CN"/>
        </w:rPr>
        <w:t>辅导室主任、博士</w:t>
      </w:r>
    </w:p>
    <w:p>
      <w:p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 xml:space="preserve">    朱侓明：</w:t>
      </w:r>
      <w:r>
        <w:rPr>
          <w:rFonts w:hint="eastAsia" w:ascii="楷体_GB2312" w:hAnsi="楷体_GB2312" w:eastAsia="楷体_GB2312" w:cs="楷体_GB2312"/>
          <w:b w:val="0"/>
          <w:bCs w:val="0"/>
          <w:sz w:val="24"/>
          <w:szCs w:val="24"/>
          <w:lang w:val="en-US" w:eastAsia="zh-CN"/>
        </w:rPr>
        <w:t xml:space="preserve">香港胡陈金枝中学校长 </w:t>
      </w:r>
    </w:p>
    <w:p>
      <w:pPr>
        <w:spacing w:line="380" w:lineRule="exact"/>
        <w:ind w:firstLine="481"/>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sz w:val="24"/>
          <w:szCs w:val="24"/>
          <w:lang w:val="en-US" w:eastAsia="zh-CN"/>
        </w:rPr>
        <w:t>刘会金：</w:t>
      </w:r>
      <w:r>
        <w:rPr>
          <w:rFonts w:hint="eastAsia" w:ascii="楷体_GB2312" w:hAnsi="楷体_GB2312" w:eastAsia="楷体_GB2312" w:cs="楷体_GB2312"/>
          <w:sz w:val="24"/>
          <w:szCs w:val="24"/>
          <w:lang w:eastAsia="zh-CN"/>
        </w:rPr>
        <w:t>北师大教育学博士、国际生涯教练、深圳市生涯规划与发展协会副会</w:t>
      </w:r>
      <w:bookmarkStart w:id="0" w:name="_GoBack"/>
      <w:bookmarkEnd w:id="0"/>
    </w:p>
    <w:p>
      <w:pPr>
        <w:spacing w:line="380" w:lineRule="exact"/>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rPr>
        <w:t>王东文</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sz w:val="24"/>
          <w:szCs w:val="24"/>
          <w:lang w:eastAsia="zh-CN"/>
        </w:rPr>
        <w:t>深圳中学副校长、生涯规划教育执行负责人</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rPr>
        <w:t>李文辉</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中国人生科学学会学生发展指导专委会理事长</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中国学校生涯规划教育网专家指导委员会主任 </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rPr>
        <w:t>李明一</w:t>
      </w:r>
      <w:r>
        <w:rPr>
          <w:rFonts w:hint="eastAsia" w:ascii="楷体_GB2312" w:hAnsi="楷体_GB2312" w:eastAsia="楷体_GB2312" w:cs="楷体_GB2312"/>
          <w:sz w:val="24"/>
          <w:szCs w:val="24"/>
        </w:rPr>
        <w:t>：全国生涯规划师、北京一诺世纪指导力学院院长</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rPr>
        <w:t>繆仁票：</w:t>
      </w:r>
      <w:r>
        <w:rPr>
          <w:rFonts w:hint="eastAsia" w:ascii="楷体_GB2312" w:hAnsi="楷体_GB2312" w:eastAsia="楷体_GB2312" w:cs="楷体_GB2312"/>
          <w:bCs/>
          <w:sz w:val="24"/>
          <w:szCs w:val="24"/>
        </w:rPr>
        <w:t>全球职业规划师，</w:t>
      </w:r>
      <w:r>
        <w:rPr>
          <w:rFonts w:hint="eastAsia" w:ascii="楷体_GB2312" w:hAnsi="楷体_GB2312" w:eastAsia="楷体_GB2312" w:cs="楷体_GB2312"/>
          <w:sz w:val="24"/>
          <w:szCs w:val="24"/>
        </w:rPr>
        <w:t>浙大附中学生生涯发展中心主任</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四、参会对象</w:t>
      </w:r>
    </w:p>
    <w:p>
      <w:pPr>
        <w:spacing w:line="380" w:lineRule="exact"/>
        <w:ind w:firstLine="56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省、市、县</w:t>
      </w:r>
      <w:r>
        <w:rPr>
          <w:rFonts w:hint="eastAsia" w:ascii="楷体_GB2312" w:hAnsi="楷体_GB2312" w:eastAsia="楷体_GB2312" w:cs="楷体_GB2312"/>
          <w:sz w:val="24"/>
          <w:szCs w:val="24"/>
          <w:lang w:eastAsia="zh-CN"/>
        </w:rPr>
        <w:t>初、</w:t>
      </w:r>
      <w:r>
        <w:rPr>
          <w:rFonts w:hint="eastAsia" w:ascii="楷体_GB2312" w:hAnsi="楷体_GB2312" w:eastAsia="楷体_GB2312" w:cs="楷体_GB2312"/>
          <w:sz w:val="24"/>
          <w:szCs w:val="24"/>
        </w:rPr>
        <w:t>高中校长、中高层相关领导</w:t>
      </w:r>
    </w:p>
    <w:p>
      <w:pPr>
        <w:spacing w:line="380" w:lineRule="exact"/>
        <w:ind w:firstLine="560" w:firstLineChars="200"/>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t>各地教育局教学及德育负责人及</w:t>
      </w:r>
      <w:r>
        <w:rPr>
          <w:rFonts w:hint="eastAsia" w:ascii="楷体_GB2312" w:hAnsi="楷体_GB2312" w:eastAsia="楷体_GB2312" w:cs="楷体_GB2312"/>
          <w:sz w:val="24"/>
          <w:szCs w:val="24"/>
          <w:lang w:eastAsia="zh-CN"/>
        </w:rPr>
        <w:t>初、</w:t>
      </w:r>
      <w:r>
        <w:rPr>
          <w:rFonts w:hint="eastAsia" w:ascii="楷体_GB2312" w:hAnsi="楷体_GB2312" w:eastAsia="楷体_GB2312" w:cs="楷体_GB2312"/>
          <w:sz w:val="24"/>
          <w:szCs w:val="24"/>
        </w:rPr>
        <w:t>高中教学、德育校长、</w:t>
      </w:r>
      <w:r>
        <w:rPr>
          <w:rFonts w:hint="eastAsia" w:ascii="楷体_GB2312" w:hAnsi="楷体_GB2312" w:eastAsia="楷体_GB2312" w:cs="楷体_GB2312"/>
          <w:sz w:val="24"/>
          <w:szCs w:val="24"/>
          <w:lang w:eastAsia="zh-CN"/>
        </w:rPr>
        <w:t>骨干</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五、研讨方式</w:t>
      </w:r>
    </w:p>
    <w:p>
      <w:pPr>
        <w:spacing w:line="380" w:lineRule="exact"/>
        <w:ind w:firstLine="56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专家讲座、专题研讨、案例分析、教研论坛等方式进行。</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六、会议时间、地点</w:t>
      </w:r>
    </w:p>
    <w:p>
      <w:pPr>
        <w:spacing w:line="380" w:lineRule="exact"/>
        <w:ind w:firstLine="56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时  间：2016年</w:t>
      </w:r>
      <w:r>
        <w:rPr>
          <w:rFonts w:hint="eastAsia" w:ascii="楷体_GB2312" w:hAnsi="楷体_GB2312" w:eastAsia="楷体_GB2312" w:cs="楷体_GB2312"/>
          <w:sz w:val="24"/>
          <w:szCs w:val="24"/>
          <w:lang w:val="en-US" w:eastAsia="zh-CN"/>
        </w:rPr>
        <w:t>12</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11</w:t>
      </w:r>
      <w:r>
        <w:rPr>
          <w:rFonts w:hint="eastAsia" w:ascii="楷体_GB2312" w:hAnsi="楷体_GB2312" w:eastAsia="楷体_GB2312" w:cs="楷体_GB2312"/>
          <w:sz w:val="24"/>
          <w:szCs w:val="24"/>
        </w:rPr>
        <w:t>日</w:t>
      </w:r>
      <w:r>
        <w:rPr>
          <w:rFonts w:hint="eastAsia" w:ascii="楷体_GB2312" w:hAnsi="楷体_GB2312" w:eastAsia="楷体_GB2312" w:cs="楷体_GB2312"/>
          <w:sz w:val="24"/>
          <w:szCs w:val="24"/>
          <w:lang w:val="en-US" w:eastAsia="zh-CN"/>
        </w:rPr>
        <w:t>-12</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15</w:t>
      </w:r>
      <w:r>
        <w:rPr>
          <w:rFonts w:hint="eastAsia" w:ascii="楷体_GB2312" w:hAnsi="楷体_GB2312" w:eastAsia="楷体_GB2312" w:cs="楷体_GB2312"/>
          <w:sz w:val="24"/>
          <w:szCs w:val="24"/>
        </w:rPr>
        <w:t>日（1</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日报到）</w:t>
      </w:r>
    </w:p>
    <w:p>
      <w:pPr>
        <w:spacing w:line="380" w:lineRule="exact"/>
        <w:ind w:firstLine="56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地  点：</w:t>
      </w:r>
      <w:r>
        <w:rPr>
          <w:rFonts w:hint="eastAsia" w:ascii="楷体_GB2312" w:hAnsi="楷体_GB2312" w:eastAsia="楷体_GB2312" w:cs="楷体_GB2312"/>
          <w:sz w:val="24"/>
          <w:szCs w:val="24"/>
          <w:lang w:eastAsia="zh-CN"/>
        </w:rPr>
        <w:t>深圳中学、香港</w:t>
      </w:r>
    </w:p>
    <w:p>
      <w:pPr>
        <w:numPr>
          <w:ilvl w:val="0"/>
          <w:numId w:val="0"/>
        </w:numPr>
        <w:spacing w:line="38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eastAsia="zh-CN"/>
        </w:rPr>
        <w:t>七、关于发言</w:t>
      </w:r>
      <w:r>
        <w:rPr>
          <w:rFonts w:hint="eastAsia" w:ascii="楷体_GB2312" w:hAnsi="楷体_GB2312" w:eastAsia="楷体_GB2312" w:cs="楷体_GB2312"/>
          <w:b/>
          <w:bCs/>
          <w:sz w:val="24"/>
          <w:szCs w:val="24"/>
          <w:lang w:val="en-US" w:eastAsia="zh-CN"/>
        </w:rPr>
        <w:t>:</w:t>
      </w:r>
      <w:r>
        <w:rPr>
          <w:rFonts w:hint="eastAsia" w:ascii="楷体_GB2312" w:hAnsi="楷体_GB2312" w:eastAsia="楷体_GB2312" w:cs="楷体_GB2312"/>
          <w:sz w:val="24"/>
          <w:szCs w:val="24"/>
          <w:lang w:val="en-US" w:eastAsia="zh-CN"/>
        </w:rPr>
        <w:t>如果需要在会上发言的代表，请提前电告组委会，以便安排发言时间。</w:t>
      </w:r>
    </w:p>
    <w:p>
      <w:pPr>
        <w:numPr>
          <w:ilvl w:val="0"/>
          <w:numId w:val="0"/>
        </w:numPr>
        <w:spacing w:line="380" w:lineRule="exact"/>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八、搭建友好学校：由中国人生科学学会学生发展指导专业委员会牵头，为参会学校与香港胡陈金枝中学搭建中港友好学校（来电索要</w:t>
      </w:r>
      <w:r>
        <w:rPr>
          <w:rFonts w:hint="eastAsia"/>
          <w:lang w:val="en-US" w:eastAsia="zh-CN"/>
        </w:rPr>
        <w:t xml:space="preserve"> 《</w:t>
      </w:r>
      <w:r>
        <w:rPr>
          <w:rFonts w:hint="eastAsia"/>
        </w:rPr>
        <w:t>缔结国际友好学校</w:t>
      </w:r>
      <w:r>
        <w:rPr>
          <w:rFonts w:hint="eastAsia"/>
          <w:lang w:eastAsia="zh-CN"/>
        </w:rPr>
        <w:t>协议</w:t>
      </w:r>
      <w:r>
        <w:rPr>
          <w:rFonts w:hint="eastAsia"/>
        </w:rPr>
        <w:t>书</w:t>
      </w:r>
      <w:r>
        <w:rPr>
          <w:rFonts w:hint="eastAsia"/>
          <w:lang w:eastAsia="zh-CN"/>
        </w:rPr>
        <w:t>》</w:t>
      </w:r>
      <w:r>
        <w:rPr>
          <w:rFonts w:hint="eastAsia" w:ascii="楷体_GB2312" w:hAnsi="楷体_GB2312" w:eastAsia="楷体_GB2312" w:cs="楷体_GB2312"/>
          <w:b/>
          <w:bCs/>
          <w:sz w:val="24"/>
          <w:szCs w:val="24"/>
          <w:lang w:val="en-US" w:eastAsia="zh-CN"/>
        </w:rPr>
        <w:t>协议书）。并在香港胡陈金枝中学举办友好学校签约仪式。</w:t>
      </w:r>
    </w:p>
    <w:p>
      <w:pPr>
        <w:numPr>
          <w:ilvl w:val="0"/>
          <w:numId w:val="0"/>
        </w:num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九、</w:t>
      </w:r>
      <w:r>
        <w:rPr>
          <w:rFonts w:hint="eastAsia" w:ascii="楷体_GB2312" w:hAnsi="楷体_GB2312" w:eastAsia="楷体_GB2312" w:cs="楷体_GB2312"/>
          <w:b/>
          <w:bCs/>
          <w:sz w:val="24"/>
          <w:szCs w:val="24"/>
        </w:rPr>
        <w:t xml:space="preserve">研修认证  </w:t>
      </w:r>
    </w:p>
    <w:p>
      <w:pPr>
        <w:spacing w:line="380" w:lineRule="exact"/>
        <w:ind w:firstLine="56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完成全部课程的学员，将获得由主办单位颁发的“2016全国</w:t>
      </w:r>
      <w:r>
        <w:rPr>
          <w:rFonts w:hint="eastAsia" w:ascii="楷体_GB2312" w:hAnsi="楷体_GB2312" w:eastAsia="楷体_GB2312" w:cs="楷体_GB2312"/>
          <w:sz w:val="24"/>
          <w:szCs w:val="24"/>
          <w:lang w:eastAsia="zh-CN"/>
        </w:rPr>
        <w:t>学校</w:t>
      </w:r>
      <w:r>
        <w:rPr>
          <w:rFonts w:hint="eastAsia" w:ascii="楷体_GB2312" w:hAnsi="楷体_GB2312" w:eastAsia="楷体_GB2312" w:cs="楷体_GB2312"/>
          <w:sz w:val="24"/>
          <w:szCs w:val="24"/>
        </w:rPr>
        <w:t>生涯规划教育管理高级研修班”结业证书。</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lang w:val="en-US" w:eastAsia="zh-CN"/>
        </w:rPr>
        <w:t xml:space="preserve"> 十、学术考察： </w:t>
      </w:r>
      <w:r>
        <w:rPr>
          <w:rFonts w:hint="eastAsia" w:ascii="楷体_GB2312" w:hAnsi="楷体_GB2312" w:eastAsia="楷体_GB2312" w:cs="楷体_GB2312"/>
          <w:b w:val="0"/>
          <w:bCs w:val="0"/>
          <w:sz w:val="24"/>
          <w:szCs w:val="24"/>
          <w:lang w:eastAsia="zh-CN"/>
        </w:rPr>
        <w:t>深圳培训期间，论坛组委会将</w:t>
      </w:r>
      <w:r>
        <w:rPr>
          <w:rFonts w:hint="eastAsia" w:ascii="楷体_GB2312" w:hAnsi="楷体_GB2312" w:eastAsia="楷体_GB2312" w:cs="楷体_GB2312"/>
          <w:b/>
          <w:bCs/>
          <w:sz w:val="24"/>
          <w:szCs w:val="24"/>
          <w:lang w:eastAsia="zh-CN"/>
        </w:rPr>
        <w:t>免费</w:t>
      </w:r>
      <w:r>
        <w:rPr>
          <w:rFonts w:hint="eastAsia" w:ascii="楷体_GB2312" w:hAnsi="楷体_GB2312" w:eastAsia="楷体_GB2312" w:cs="楷体_GB2312"/>
          <w:b w:val="0"/>
          <w:bCs w:val="0"/>
          <w:sz w:val="24"/>
          <w:szCs w:val="24"/>
          <w:lang w:eastAsia="zh-CN"/>
        </w:rPr>
        <w:t>组织所有学员到</w:t>
      </w:r>
      <w:r>
        <w:rPr>
          <w:rFonts w:hint="eastAsia" w:ascii="楷体_GB2312" w:hAnsi="楷体_GB2312" w:eastAsia="楷体_GB2312" w:cs="楷体_GB2312"/>
          <w:b/>
          <w:bCs/>
          <w:sz w:val="24"/>
          <w:szCs w:val="24"/>
          <w:lang w:eastAsia="zh-CN"/>
        </w:rPr>
        <w:t>香港胡陈金枝中学</w:t>
      </w:r>
      <w:r>
        <w:rPr>
          <w:rFonts w:hint="eastAsia" w:ascii="楷体_GB2312" w:hAnsi="楷体_GB2312" w:eastAsia="楷体_GB2312" w:cs="楷体_GB2312"/>
          <w:b w:val="0"/>
          <w:bCs w:val="0"/>
          <w:sz w:val="24"/>
          <w:szCs w:val="24"/>
          <w:lang w:eastAsia="zh-CN"/>
        </w:rPr>
        <w:t>实地学术参观考察生涯教育。并与香港</w:t>
      </w:r>
      <w:r>
        <w:rPr>
          <w:rFonts w:hint="eastAsia" w:ascii="楷体_GB2312" w:hAnsi="楷体_GB2312" w:eastAsia="楷体_GB2312" w:cs="楷体_GB2312"/>
          <w:b/>
          <w:bCs/>
          <w:sz w:val="24"/>
          <w:szCs w:val="24"/>
          <w:lang w:val="en-US" w:eastAsia="zh-CN"/>
        </w:rPr>
        <w:t>朱侓明校长</w:t>
      </w:r>
      <w:r>
        <w:rPr>
          <w:rFonts w:hint="eastAsia" w:ascii="楷体_GB2312" w:hAnsi="楷体_GB2312" w:eastAsia="楷体_GB2312" w:cs="楷体_GB2312"/>
          <w:b w:val="0"/>
          <w:bCs w:val="0"/>
          <w:sz w:val="24"/>
          <w:szCs w:val="24"/>
          <w:lang w:val="en-US" w:eastAsia="zh-CN"/>
        </w:rPr>
        <w:t>面对面互动交流。</w:t>
      </w:r>
      <w:r>
        <w:rPr>
          <w:rFonts w:hint="eastAsia" w:ascii="楷体_GB2312" w:hAnsi="楷体_GB2312" w:eastAsia="楷体_GB2312" w:cs="楷体_GB2312"/>
          <w:b/>
          <w:bCs/>
          <w:sz w:val="24"/>
          <w:szCs w:val="24"/>
          <w:lang w:val="en-US" w:eastAsia="zh-CN"/>
        </w:rPr>
        <w:t>参与</w:t>
      </w:r>
      <w:r>
        <w:rPr>
          <w:rFonts w:hint="eastAsia" w:ascii="楷体_GB2312" w:hAnsi="楷体_GB2312" w:eastAsia="楷体_GB2312" w:cs="楷体_GB2312"/>
          <w:b/>
          <w:bCs/>
          <w:sz w:val="24"/>
          <w:szCs w:val="24"/>
          <w:lang w:eastAsia="zh-CN"/>
        </w:rPr>
        <w:t>学员必须提前办理港澳通行证</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16</w:t>
      </w:r>
      <w:r>
        <w:rPr>
          <w:rFonts w:hint="eastAsia" w:ascii="楷体_GB2312" w:hAnsi="楷体_GB2312" w:eastAsia="楷体_GB2312" w:cs="楷体_GB2312"/>
          <w:b/>
          <w:bCs/>
          <w:sz w:val="24"/>
          <w:szCs w:val="24"/>
          <w:lang w:val="en-US" w:eastAsia="zh-CN"/>
        </w:rPr>
        <w:t>日于珠海返程。</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十一</w:t>
      </w:r>
      <w:r>
        <w:rPr>
          <w:rFonts w:hint="eastAsia" w:ascii="楷体_GB2312" w:hAnsi="楷体_GB2312" w:eastAsia="楷体_GB2312" w:cs="楷体_GB2312"/>
          <w:b/>
          <w:bCs/>
          <w:sz w:val="24"/>
          <w:szCs w:val="24"/>
        </w:rPr>
        <w:t>、费用</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1、培训费</w:t>
      </w:r>
      <w:r>
        <w:rPr>
          <w:rFonts w:hint="eastAsia" w:ascii="楷体_GB2312" w:hAnsi="楷体_GB2312" w:eastAsia="楷体_GB2312" w:cs="楷体_GB2312"/>
          <w:sz w:val="24"/>
          <w:szCs w:val="24"/>
          <w:lang w:val="en-US" w:eastAsia="zh-CN"/>
        </w:rPr>
        <w:t>10</w:t>
      </w:r>
      <w:r>
        <w:rPr>
          <w:rFonts w:hint="eastAsia" w:ascii="楷体_GB2312" w:hAnsi="楷体_GB2312" w:eastAsia="楷体_GB2312" w:cs="楷体_GB2312"/>
          <w:sz w:val="24"/>
          <w:szCs w:val="24"/>
        </w:rPr>
        <w:t>80元/人（包括：学习费、专家费、场地费</w:t>
      </w:r>
      <w:r>
        <w:rPr>
          <w:rFonts w:hint="eastAsia" w:ascii="楷体_GB2312" w:hAnsi="楷体_GB2312" w:eastAsia="楷体_GB2312" w:cs="楷体_GB2312"/>
          <w:sz w:val="24"/>
          <w:szCs w:val="24"/>
          <w:lang w:eastAsia="zh-CN"/>
        </w:rPr>
        <w:t>、香港澳门考察期间交通、食宿费</w:t>
      </w:r>
      <w:r>
        <w:rPr>
          <w:rFonts w:hint="eastAsia" w:ascii="楷体_GB2312" w:hAnsi="楷体_GB2312" w:eastAsia="楷体_GB2312" w:cs="楷体_GB2312"/>
          <w:sz w:val="24"/>
          <w:szCs w:val="24"/>
        </w:rPr>
        <w:t>）。</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w:t>
      </w:r>
      <w:r>
        <w:rPr>
          <w:rFonts w:hint="eastAsia" w:ascii="楷体_GB2312" w:hAnsi="楷体_GB2312" w:eastAsia="楷体_GB2312" w:cs="楷体_GB2312"/>
          <w:sz w:val="24"/>
          <w:szCs w:val="24"/>
          <w:lang w:eastAsia="zh-CN"/>
        </w:rPr>
        <w:t>深圳开会期间</w:t>
      </w:r>
      <w:r>
        <w:rPr>
          <w:rFonts w:hint="eastAsia" w:ascii="楷体_GB2312" w:hAnsi="楷体_GB2312" w:eastAsia="楷体_GB2312" w:cs="楷体_GB2312"/>
          <w:sz w:val="24"/>
          <w:szCs w:val="24"/>
        </w:rPr>
        <w:t>食宿费用自理，协助安排宾馆，标准</w:t>
      </w:r>
      <w:r>
        <w:rPr>
          <w:rFonts w:hint="eastAsia" w:ascii="楷体_GB2312" w:hAnsi="楷体_GB2312" w:eastAsia="楷体_GB2312" w:cs="楷体_GB2312"/>
          <w:sz w:val="24"/>
          <w:szCs w:val="24"/>
          <w:lang w:val="en-US" w:eastAsia="zh-CN"/>
        </w:rPr>
        <w:t>320</w:t>
      </w:r>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0元/人/天。</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3、总课题组重点实验基地免费（培训费）</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 xml:space="preserve">人参加；示范基地免费 </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人参加。</w:t>
      </w:r>
    </w:p>
    <w:p>
      <w:pPr>
        <w:spacing w:line="38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 xml:space="preserve">   4、不参加香港、澳门考察的代表培训费用为980元。</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十二</w:t>
      </w:r>
      <w:r>
        <w:rPr>
          <w:rFonts w:hint="eastAsia" w:ascii="楷体_GB2312" w:hAnsi="楷体_GB2312" w:eastAsia="楷体_GB2312" w:cs="楷体_GB2312"/>
          <w:b/>
          <w:bCs/>
          <w:sz w:val="24"/>
          <w:szCs w:val="24"/>
        </w:rPr>
        <w:t>、会议要求</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1、进入中国学校生涯规划教育网www.zgxxsygh.com（下载报名表），“报名回执”反馈后3日内将会务费汇至指定账户，以便组委会提前安排与会老师的参会资料、食宿。（食宿费在报到当天办理。）</w:t>
      </w:r>
      <w:r>
        <w:rPr>
          <w:rFonts w:hint="eastAsia" w:ascii="楷体_GB2312" w:hAnsi="楷体_GB2312" w:eastAsia="楷体_GB2312" w:cs="楷体_GB2312"/>
          <w:sz w:val="24"/>
          <w:szCs w:val="24"/>
          <w:lang w:eastAsia="zh-CN"/>
        </w:rPr>
        <w:t>报名截止时间为</w:t>
      </w:r>
      <w:r>
        <w:rPr>
          <w:rFonts w:hint="eastAsia" w:ascii="楷体_GB2312" w:hAnsi="楷体_GB2312" w:eastAsia="楷体_GB2312" w:cs="楷体_GB2312"/>
          <w:sz w:val="24"/>
          <w:szCs w:val="24"/>
          <w:lang w:val="en-US" w:eastAsia="zh-CN"/>
        </w:rPr>
        <w:t>2016年12月1日，额满即止！</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2、为安全起见，身体状况不佳的老师不得参加。</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3、为保证</w:t>
      </w:r>
      <w:r>
        <w:rPr>
          <w:rFonts w:hint="eastAsia" w:ascii="楷体_GB2312" w:hAnsi="楷体_GB2312" w:eastAsia="楷体_GB2312" w:cs="楷体_GB2312"/>
          <w:sz w:val="24"/>
          <w:szCs w:val="24"/>
          <w:lang w:eastAsia="zh-CN"/>
        </w:rPr>
        <w:t>论坛</w:t>
      </w:r>
      <w:r>
        <w:rPr>
          <w:rFonts w:hint="eastAsia" w:ascii="楷体_GB2312" w:hAnsi="楷体_GB2312" w:eastAsia="楷体_GB2312" w:cs="楷体_GB2312"/>
          <w:sz w:val="24"/>
          <w:szCs w:val="24"/>
        </w:rPr>
        <w:t>效果及学习期间的正常管理，请不要带亲属及小孩。</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4、为保证安全，会务组将组织学员统一往返，请各位学员妥善保管个人票、证、行李等财物。</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5、参训学员提前准备好自己在生涯教育工作中遇到的问题、课例、案例等，以便在研修活动中交流和研讨。</w:t>
      </w:r>
    </w:p>
    <w:p>
      <w:pPr>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十</w:t>
      </w:r>
      <w:r>
        <w:rPr>
          <w:rFonts w:hint="eastAsia" w:ascii="楷体_GB2312" w:hAnsi="楷体_GB2312" w:eastAsia="楷体_GB2312" w:cs="楷体_GB2312"/>
          <w:b/>
          <w:bCs/>
          <w:sz w:val="24"/>
          <w:szCs w:val="24"/>
          <w:lang w:eastAsia="zh-CN"/>
        </w:rPr>
        <w:t>三</w:t>
      </w:r>
      <w:r>
        <w:rPr>
          <w:rFonts w:hint="eastAsia" w:ascii="楷体_GB2312" w:hAnsi="楷体_GB2312" w:eastAsia="楷体_GB2312" w:cs="楷体_GB2312"/>
          <w:b/>
          <w:bCs/>
          <w:sz w:val="24"/>
          <w:szCs w:val="24"/>
        </w:rPr>
        <w:t>、 组委会联系方式</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联系人：李老师      </w:t>
      </w:r>
    </w:p>
    <w:p>
      <w:pPr>
        <w:adjustRightInd w:val="0"/>
        <w:snapToGrid w:val="0"/>
        <w:spacing w:line="288"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电  话：010-</w:t>
      </w:r>
      <w:r>
        <w:rPr>
          <w:rFonts w:hint="eastAsia" w:ascii="楷体_GB2312" w:hAnsi="楷体_GB2312" w:eastAsia="楷体_GB2312" w:cs="楷体_GB2312"/>
          <w:sz w:val="24"/>
          <w:szCs w:val="24"/>
          <w:lang w:val="en-US" w:eastAsia="zh-CN"/>
        </w:rPr>
        <w:t>61354811</w:t>
      </w:r>
      <w:r>
        <w:rPr>
          <w:rFonts w:hint="eastAsia" w:ascii="楷体_GB2312" w:hAnsi="楷体_GB2312" w:eastAsia="楷体_GB2312" w:cs="楷体_GB2312"/>
          <w:sz w:val="24"/>
          <w:szCs w:val="24"/>
        </w:rPr>
        <w:t xml:space="preserve">   </w:t>
      </w:r>
      <w:r>
        <w:rPr>
          <w:rFonts w:hint="eastAsia" w:ascii="宋体" w:hAnsi="宋体" w:cs="宋体"/>
          <w:sz w:val="24"/>
          <w:szCs w:val="24"/>
        </w:rPr>
        <w:t>15001343019</w:t>
      </w:r>
    </w:p>
    <w:p>
      <w:pPr>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邮  箱</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zdktzsmm@126.com</w:t>
      </w:r>
    </w:p>
    <w:p>
      <w:pPr>
        <w:spacing w:line="380" w:lineRule="exact"/>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 xml:space="preserve">   网  址：http://www.zgxxsygh.com（下载报名表） </w:t>
      </w:r>
    </w:p>
    <w:p>
      <w:pPr>
        <w:spacing w:line="380" w:lineRule="exact"/>
        <w:rPr>
          <w:rFonts w:hint="eastAsia" w:ascii="楷体_GB2312" w:hAnsi="楷体_GB2312" w:eastAsia="楷体_GB2312" w:cs="楷体_GB2312"/>
          <w:b/>
          <w:bCs/>
          <w:szCs w:val="21"/>
        </w:rPr>
      </w:pPr>
    </w:p>
    <w:p>
      <w:pPr>
        <w:spacing w:line="380" w:lineRule="exact"/>
        <w:ind w:firstLine="560"/>
        <w:rPr>
          <w:rFonts w:hint="eastAsia" w:ascii="楷体_GB2312" w:hAnsi="楷体_GB2312" w:eastAsia="楷体_GB2312" w:cs="楷体_GB2312"/>
          <w:b/>
          <w:bCs/>
          <w:szCs w:val="21"/>
          <w:lang w:val="en-US" w:eastAsia="zh-CN"/>
        </w:rPr>
      </w:pPr>
      <w:r>
        <w:rPr>
          <w:rFonts w:hint="eastAsia" w:ascii="楷体_GB2312" w:hAnsi="楷体_GB2312" w:eastAsia="楷体_GB2312" w:cs="楷体_GB2312"/>
          <w:b/>
          <w:bCs/>
          <w:szCs w:val="21"/>
          <w:lang w:val="en-US" w:eastAsia="zh-CN"/>
        </w:rPr>
        <w:t xml:space="preserve">  </w:t>
      </w:r>
      <w:r>
        <w:rPr>
          <w:rFonts w:hint="eastAsia" w:ascii="楷体_GB2312" w:hAnsi="楷体_GB2312" w:eastAsia="楷体_GB2312" w:cs="楷体_GB2312"/>
          <w:b/>
          <w:bCs/>
          <w:szCs w:val="21"/>
        </w:rPr>
        <w:t xml:space="preserve">中国智慧工程研究会    </w:t>
      </w:r>
      <w:r>
        <w:rPr>
          <w:rFonts w:hint="eastAsia" w:ascii="楷体_GB2312" w:hAnsi="楷体_GB2312" w:eastAsia="楷体_GB2312" w:cs="楷体_GB2312"/>
          <w:b/>
          <w:bCs/>
          <w:szCs w:val="21"/>
          <w:lang w:val="en-US" w:eastAsia="zh-CN"/>
        </w:rPr>
        <w:t xml:space="preserve">          </w:t>
      </w:r>
      <w:r>
        <w:rPr>
          <w:rFonts w:hint="eastAsia" w:ascii="楷体_GB2312" w:hAnsi="楷体_GB2312" w:eastAsia="楷体_GB2312" w:cs="楷体_GB2312"/>
          <w:b/>
          <w:bCs/>
          <w:szCs w:val="21"/>
          <w:lang w:eastAsia="zh-CN"/>
        </w:rPr>
        <w:t>中国人生科学学会</w:t>
      </w:r>
      <w:r>
        <w:rPr>
          <w:rFonts w:hint="eastAsia" w:ascii="楷体_GB2312" w:hAnsi="楷体_GB2312" w:eastAsia="楷体_GB2312" w:cs="楷体_GB2312"/>
          <w:b/>
          <w:bCs/>
          <w:szCs w:val="21"/>
        </w:rPr>
        <w:t xml:space="preserve">         </w:t>
      </w:r>
      <w:r>
        <w:rPr>
          <w:rFonts w:hint="eastAsia" w:ascii="楷体_GB2312" w:hAnsi="楷体_GB2312" w:eastAsia="楷体_GB2312" w:cs="楷体_GB2312"/>
          <w:b/>
          <w:bCs/>
          <w:szCs w:val="21"/>
          <w:lang w:val="en-US" w:eastAsia="zh-CN"/>
        </w:rPr>
        <w:t xml:space="preserve">  </w:t>
      </w:r>
    </w:p>
    <w:p>
      <w:pPr>
        <w:spacing w:line="380" w:lineRule="exact"/>
        <w:rPr>
          <w:rFonts w:hint="eastAsia" w:ascii="楷体_GB2312" w:hAnsi="楷体_GB2312" w:eastAsia="楷体_GB2312" w:cs="楷体_GB2312"/>
          <w:b/>
          <w:bCs/>
          <w:szCs w:val="21"/>
        </w:rPr>
      </w:pPr>
      <w:r>
        <w:rPr>
          <w:rFonts w:hint="eastAsia" w:ascii="楷体_GB2312" w:hAnsi="楷体_GB2312" w:eastAsia="楷体_GB2312" w:cs="楷体_GB2312"/>
          <w:b/>
          <w:bCs/>
          <w:szCs w:val="21"/>
        </w:rPr>
        <w:t>生涯规划教育与成长导师培养行动研</w:t>
      </w:r>
      <w:r>
        <w:rPr>
          <w:rFonts w:hint="eastAsia" w:ascii="楷体_GB2312" w:hAnsi="楷体_GB2312" w:eastAsia="楷体_GB2312" w:cs="楷体_GB2312"/>
          <w:b/>
          <w:bCs/>
          <w:szCs w:val="21"/>
          <w:lang w:val="en-US" w:eastAsia="zh-CN"/>
        </w:rPr>
        <w:t xml:space="preserve">      学生发展指导专业会        </w:t>
      </w:r>
      <w:r>
        <w:rPr>
          <w:rFonts w:hint="eastAsia" w:ascii="楷体_GB2312" w:hAnsi="楷体_GB2312" w:eastAsia="楷体_GB2312" w:cs="楷体_GB2312"/>
          <w:b/>
          <w:bCs/>
          <w:szCs w:val="21"/>
        </w:rPr>
        <w:t xml:space="preserve">中国学校生涯规划教育网                  </w:t>
      </w:r>
    </w:p>
    <w:p>
      <w:pPr>
        <w:spacing w:line="380" w:lineRule="exact"/>
        <w:rPr>
          <w:rFonts w:hint="eastAsia" w:ascii="楷体_GB2312" w:hAnsi="楷体_GB2312" w:eastAsia="楷体_GB2312" w:cs="楷体_GB2312"/>
          <w:b/>
          <w:bCs/>
          <w:szCs w:val="21"/>
        </w:rPr>
      </w:pPr>
      <w:r>
        <w:rPr>
          <w:rFonts w:hint="eastAsia" w:ascii="楷体_GB2312" w:hAnsi="楷体_GB2312" w:eastAsia="楷体_GB2312" w:cs="楷体_GB2312"/>
          <w:b/>
          <w:bCs/>
          <w:szCs w:val="21"/>
        </w:rPr>
        <w:t xml:space="preserve">         总课题组                </w:t>
      </w:r>
    </w:p>
    <w:p>
      <w:pPr>
        <w:spacing w:line="380" w:lineRule="exact"/>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Cs w:val="21"/>
          <w:lang w:val="en-US" w:eastAsia="zh-CN"/>
        </w:rPr>
        <w:t xml:space="preserve">                                                         </w:t>
      </w:r>
      <w:r>
        <w:rPr>
          <w:rFonts w:hint="eastAsia" w:ascii="楷体_GB2312" w:hAnsi="楷体_GB2312" w:eastAsia="楷体_GB2312" w:cs="楷体_GB2312"/>
          <w:b/>
          <w:bCs/>
          <w:szCs w:val="21"/>
        </w:rPr>
        <w:t>2016年</w:t>
      </w:r>
      <w:r>
        <w:rPr>
          <w:rFonts w:hint="eastAsia" w:ascii="楷体_GB2312" w:hAnsi="楷体_GB2312" w:eastAsia="楷体_GB2312" w:cs="楷体_GB2312"/>
          <w:b/>
          <w:bCs/>
          <w:szCs w:val="21"/>
          <w:lang w:val="en-US" w:eastAsia="zh-CN"/>
        </w:rPr>
        <w:t>10月30</w:t>
      </w:r>
      <w:r>
        <w:rPr>
          <w:rFonts w:hint="eastAsia" w:ascii="楷体_GB2312" w:hAnsi="楷体_GB2312" w:eastAsia="楷体_GB2312" w:cs="楷体_GB2312"/>
          <w:b/>
          <w:bCs/>
          <w:szCs w:val="21"/>
        </w:rPr>
        <w:t>日</w:t>
      </w:r>
    </w:p>
    <w:p>
      <w:pPr>
        <w:jc w:val="both"/>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 xml:space="preserve">   </w:t>
      </w:r>
    </w:p>
    <w:p>
      <w:pPr>
        <w:jc w:val="both"/>
        <w:rPr>
          <w:rFonts w:hint="eastAsia" w:asciiTheme="minorEastAsia" w:hAnsiTheme="minorEastAsia" w:eastAsiaTheme="minorEastAsia" w:cstheme="minorEastAsia"/>
          <w:b/>
          <w:bCs/>
          <w:i w:val="0"/>
          <w:caps w:val="0"/>
          <w:color w:val="auto"/>
          <w:spacing w:val="0"/>
          <w:sz w:val="36"/>
          <w:szCs w:val="36"/>
          <w:shd w:val="clear" w:fill="FFFFFF"/>
        </w:rPr>
      </w:pPr>
      <w:r>
        <w:rPr>
          <w:rFonts w:hint="eastAsia" w:ascii="Arial" w:hAnsi="Arial" w:eastAsia="宋体" w:cs="Arial"/>
          <w:b w:val="0"/>
          <w:i w:val="0"/>
          <w:caps w:val="0"/>
          <w:color w:val="4C4C4C"/>
          <w:spacing w:val="0"/>
          <w:sz w:val="18"/>
          <w:szCs w:val="18"/>
          <w:shd w:val="clear" w:fill="FFFFFF"/>
          <w:lang w:val="en-US" w:eastAsia="zh-CN"/>
        </w:rPr>
        <w:t xml:space="preserve">      </w:t>
      </w:r>
      <w:r>
        <w:rPr>
          <w:rFonts w:hint="eastAsia" w:asciiTheme="minorEastAsia" w:hAnsiTheme="minorEastAsia" w:eastAsiaTheme="minorEastAsia" w:cstheme="minorEastAsia"/>
          <w:b w:val="0"/>
          <w:i w:val="0"/>
          <w:caps w:val="0"/>
          <w:color w:val="4C4C4C"/>
          <w:spacing w:val="0"/>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auto"/>
          <w:spacing w:val="0"/>
          <w:sz w:val="36"/>
          <w:szCs w:val="36"/>
          <w:shd w:val="clear" w:fill="FFFFFF"/>
          <w:lang w:val="en-US" w:eastAsia="zh-CN"/>
        </w:rPr>
        <w:t xml:space="preserve"> </w:t>
      </w:r>
      <w:r>
        <w:rPr>
          <w:rFonts w:hint="eastAsia" w:asciiTheme="minorEastAsia" w:hAnsiTheme="minorEastAsia" w:eastAsiaTheme="minorEastAsia" w:cstheme="minorEastAsia"/>
          <w:b/>
          <w:bCs/>
          <w:i w:val="0"/>
          <w:caps w:val="0"/>
          <w:color w:val="auto"/>
          <w:spacing w:val="0"/>
          <w:sz w:val="36"/>
          <w:szCs w:val="36"/>
          <w:shd w:val="clear" w:fill="FFFFFF"/>
        </w:rPr>
        <w:t>深圳中学</w:t>
      </w:r>
      <w:r>
        <w:rPr>
          <w:rFonts w:hint="eastAsia" w:asciiTheme="minorEastAsia" w:hAnsiTheme="minorEastAsia" w:eastAsiaTheme="minorEastAsia" w:cstheme="minorEastAsia"/>
          <w:b/>
          <w:bCs/>
          <w:i w:val="0"/>
          <w:caps w:val="0"/>
          <w:color w:val="auto"/>
          <w:spacing w:val="0"/>
          <w:sz w:val="36"/>
          <w:szCs w:val="36"/>
          <w:shd w:val="clear" w:fill="FFFFFF"/>
          <w:lang w:eastAsia="zh-CN"/>
        </w:rPr>
        <w:t>介绍</w:t>
      </w:r>
    </w:p>
    <w:p>
      <w:pPr>
        <w:jc w:val="both"/>
        <w:rPr>
          <w:rFonts w:hint="eastAsia" w:asciiTheme="minorEastAsia" w:hAnsiTheme="minorEastAsia" w:eastAsiaTheme="minorEastAsia" w:cstheme="minorEastAsia"/>
          <w:b w:val="0"/>
          <w:i w:val="0"/>
          <w:caps w:val="0"/>
          <w:color w:val="auto"/>
          <w:spacing w:val="0"/>
          <w:sz w:val="21"/>
          <w:szCs w:val="21"/>
          <w:shd w:val="clear" w:fill="FFFFFF"/>
        </w:rPr>
      </w:pPr>
    </w:p>
    <w:p>
      <w:pPr>
        <w:jc w:val="both"/>
        <w:rPr>
          <w:rFonts w:hint="eastAsia" w:asciiTheme="minorEastAsia" w:hAnsiTheme="minorEastAsia" w:eastAsiaTheme="minorEastAsia" w:cstheme="minorEastAsia"/>
          <w:b w:val="0"/>
          <w:i w:val="0"/>
          <w:caps w:val="0"/>
          <w:color w:val="auto"/>
          <w:spacing w:val="0"/>
          <w:sz w:val="21"/>
          <w:szCs w:val="21"/>
          <w:shd w:val="clear" w:fill="FFFFFF"/>
          <w:lang w:val="en-US" w:eastAsia="zh-CN"/>
        </w:rPr>
      </w:pPr>
      <w:r>
        <w:rPr>
          <w:rFonts w:hint="eastAsia" w:asciiTheme="minorEastAsia" w:hAnsiTheme="minorEastAsia" w:cstheme="minorEastAsia"/>
          <w:b w:val="0"/>
          <w:i w:val="0"/>
          <w:caps w:val="0"/>
          <w:color w:val="auto"/>
          <w:spacing w:val="0"/>
          <w:sz w:val="21"/>
          <w:szCs w:val="21"/>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1"/>
          <w:szCs w:val="21"/>
          <w:shd w:val="clear" w:fill="FFFFFF"/>
        </w:rPr>
        <w:t>深圳中学创办于1947年。1983年6月被定为深圳市唯一的省重点中学，1986年被评为广东省进步快、效果好的学校，1993年11月被评为广东省首批一级学校。2004年，被定为国家新课改样板校；2006年6月成为首批通过广东省国家级示范性高中初期督导评估的学校；2007年12月12日顺利通过国家级示范性高中评估；2010年9月，提出深圳中学的教育使命：建设学术性高中，培养创新型人才；2010年12月被评为课程改革和艺术教育两个素质教育特色学校。1998年原洪湖中学与我校合并，成为深圳中学初中部。初中部建于1985年7月，1996年通过了市教育督导室市一级学校评估。两部共占地107602平方米，办学条件优越，具有现代化的教育教学设施设备。两部共有教师400多人,共有学生近5000人。</w:t>
      </w:r>
    </w:p>
    <w:p>
      <w:pPr>
        <w:jc w:val="both"/>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cstheme="minorEastAsia"/>
          <w:b w:val="0"/>
          <w:i w:val="0"/>
          <w:caps w:val="0"/>
          <w:color w:val="auto"/>
          <w:spacing w:val="0"/>
          <w:sz w:val="21"/>
          <w:szCs w:val="21"/>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1"/>
          <w:szCs w:val="21"/>
          <w:shd w:val="clear" w:fill="FFFFFF"/>
        </w:rPr>
        <w:t>为了促进学生的全面发展，培养学生的健全人格，陶冶学生的审美情趣，学校除了为学生提供优质的学习条件外还为学生提供了丰富多彩的课外生活平台。这里有学校团委、学生会、学生代表大会委员会、学长团等学生组织，举办过校长杯足球赛、深中杯篮球赛、体育节、文化艺术节、文化讲坛、深中论坛、学科周、专家讲座等系列活动。合唱团、管乐团、舞蹈团、义工联、话剧社、天文社、跑酷社、模拟联合国协会、全球中学生大熊猫保护组织等五十余个学生社团组织，是深中学生参与社会实践、自主个性发展的重要平台。2010年深圳中学被教育部命名为全国艺术教育先进学校（全国唯一的赴会领奖的学校），是全国美术课改实验学校、广东省艺术教育示范学校。我校知名的三大艺术团体合唱团、管乐团、舞蹈团多次在国际艺术比赛中获得金奖。仅在三届全国艺展中，就拿了全部项目的14个全国一等奖、一个二等奖。引人注目的合唱团曾连续三年获得国际奥林匹克合唱大赛金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15" w:lineRule="atLeast"/>
        <w:ind w:left="0" w:right="0" w:firstLine="42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深中还有自己的六大校园媒体并创有刊物《新深中》、《涅槃周刊》、《深中日报》、《NOVA　Monthly》、《深中年鉴》、《苇思》，这些媒体都是由学生编辑并发行，每种刊物都有不同的特色。如《新深中》主要注重校内的时事解析；《涅槃周刊》是深圳唯一一家中学生独立媒体，以建设公民社会为办刊理念；《深中日报》每天出版，具有很强的实效性；《NOVA　Monthly》是对外文刊物的翻译，有助于同学拓展国际视野；《深中年鉴》是对深中一年做出总结的刊物，也是当届毕业生的纪念册；《苇思》则选取学生中优秀的哲学类文章，探索人类精神世界的重大命题。通过这些媒体，学生能够自由地表达自己的看法、自由地与人交流，并深入思考我们所在社会的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315" w:lineRule="atLeast"/>
        <w:ind w:left="0" w:right="0" w:firstLine="420"/>
        <w:rPr>
          <w:rFonts w:hint="eastAsia" w:ascii="楷体_GB2312" w:hAnsi="楷体_GB2312" w:eastAsia="楷体_GB2312" w:cs="楷体_GB2312"/>
          <w:b/>
          <w:bCs/>
          <w:sz w:val="44"/>
          <w:szCs w:val="44"/>
          <w:lang w:val="en-US" w:eastAsia="zh-CN"/>
        </w:rPr>
      </w:pPr>
      <w:r>
        <w:rPr>
          <w:rFonts w:hint="eastAsia" w:ascii="微软雅黑" w:hAnsi="微软雅黑" w:eastAsia="微软雅黑" w:cs="微软雅黑"/>
          <w:b w:val="0"/>
          <w:i w:val="0"/>
          <w:caps w:val="0"/>
          <w:color w:val="000000"/>
          <w:spacing w:val="0"/>
          <w:sz w:val="24"/>
          <w:szCs w:val="24"/>
        </w:rPr>
        <w:t xml:space="preserve">　 </w:t>
      </w:r>
      <w:r>
        <w:rPr>
          <w:rFonts w:hint="eastAsia" w:asciiTheme="minorEastAsia" w:hAnsiTheme="minorEastAsia" w:eastAsiaTheme="minorEastAsia" w:cstheme="minorEastAsia"/>
          <w:b w:val="0"/>
          <w:i w:val="0"/>
          <w:caps w:val="0"/>
          <w:color w:val="auto"/>
          <w:spacing w:val="0"/>
          <w:sz w:val="21"/>
          <w:szCs w:val="21"/>
          <w:shd w:val="clear" w:fill="FFFFFF"/>
        </w:rPr>
        <w:t>【深圳商报讯】（记者 吴吉）昨日，《中学生生涯规划的理论与实践研究》课题研究项目负责人刘会金与深圳中学副校长王东文签约，标志着初中生生涯规划课程正式落户深中。进入初中后，不少家长与孩子都会产生迷惘和困惑。深圳市优秀教育科研成果推广应用立项项目——“中学生生涯规划的理论与实践研究”正是帮助家长与孩子们回答人生旅途中的一些困惑，并帮助中学生们寻找未来的一门课程。2014年9月，在深圳市首批教科研专家工作室主持人刘会金的建议与参与下，深圳中学在全国率先将生涯规划引入初中生的课程。两年多来，深圳中学一直坚持将这门课程开齐开足，助力中学生走向更好的明天。 当时拍板将这门课程引入学校的时任深中初中部校长韩晓宏告诉记者，他的初衷就是希望学生的眼睛不要单纯地只盯着中考，而应该放得更加长远。教授了两年这门课程的深中老师马小红说，刚开设这门课程时，很多家长不理解，但一个学期下来，很多人表示很满意。“我们通过‘拍卖’游戏，判断孩子的价值观和内心潜意识。有人想拍‘名牌大学’，有人想拍‘美好家庭’，有人向往‘完美恋爱’……不管选择什么，都让孩子更深刻地认识到自己，从而达到自省的目的。”马老师说，这对孩子今后的成长非常关键。深圳中学开设过生涯规划市级公开课，区校级研讨会与公开课，获得教师和家长们广泛认可。</w:t>
      </w:r>
    </w:p>
    <w:p>
      <w:pPr>
        <w:jc w:val="both"/>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lang w:val="en-US" w:eastAsia="zh-CN"/>
        </w:rPr>
        <w:t xml:space="preserve">     首届中学两岸三地生涯教育论坛</w:t>
      </w:r>
      <w:r>
        <w:rPr>
          <w:rFonts w:hint="eastAsia" w:ascii="楷体_GB2312" w:hAnsi="楷体_GB2312" w:eastAsia="楷体_GB2312" w:cs="楷体_GB2312"/>
          <w:b/>
          <w:bCs/>
          <w:sz w:val="44"/>
          <w:szCs w:val="44"/>
        </w:rPr>
        <w:t>报名表</w:t>
      </w:r>
    </w:p>
    <w:tbl>
      <w:tblPr>
        <w:tblStyle w:val="8"/>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地址</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邮编</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szCs w:val="24"/>
              </w:rPr>
            </w:pPr>
            <w:r>
              <w:rPr>
                <w:rFonts w:hint="eastAsia" w:ascii="仿宋_GB2312" w:hAnsi="仿宋_GB2312" w:eastAsia="仿宋_GB2312" w:cs="仿宋_GB2312"/>
                <w:sz w:val="24"/>
                <w:szCs w:val="24"/>
              </w:rPr>
              <w:t>带队</w:t>
            </w:r>
          </w:p>
        </w:tc>
        <w:tc>
          <w:tcPr>
            <w:tcW w:w="1225" w:type="dxa"/>
            <w:vAlign w:val="center"/>
          </w:tcPr>
          <w:p>
            <w:pPr>
              <w:jc w:val="center"/>
              <w:rPr>
                <w:rFonts w:hint="eastAsia"/>
                <w:sz w:val="24"/>
                <w:szCs w:val="24"/>
              </w:rPr>
            </w:pPr>
            <w:r>
              <w:rPr>
                <w:rFonts w:hint="eastAsia" w:ascii="仿宋_GB2312" w:hAnsi="仿宋_GB2312" w:eastAsia="仿宋_GB2312" w:cs="仿宋_GB2312"/>
                <w:sz w:val="24"/>
                <w:szCs w:val="24"/>
              </w:rPr>
              <w:t>姓名</w:t>
            </w:r>
          </w:p>
        </w:tc>
        <w:tc>
          <w:tcPr>
            <w:tcW w:w="530" w:type="dxa"/>
            <w:vAlign w:val="center"/>
          </w:tcPr>
          <w:p>
            <w:pPr>
              <w:jc w:val="center"/>
              <w:rPr>
                <w:rFonts w:hint="eastAsia"/>
                <w:sz w:val="24"/>
                <w:szCs w:val="24"/>
              </w:rPr>
            </w:pPr>
            <w:r>
              <w:rPr>
                <w:rFonts w:hint="eastAsia" w:ascii="仿宋_GB2312" w:hAnsi="仿宋_GB2312" w:eastAsia="仿宋_GB2312" w:cs="仿宋_GB2312"/>
                <w:sz w:val="24"/>
                <w:szCs w:val="24"/>
              </w:rPr>
              <w:t>性别</w:t>
            </w:r>
          </w:p>
        </w:tc>
        <w:tc>
          <w:tcPr>
            <w:tcW w:w="885" w:type="dxa"/>
            <w:vAlign w:val="center"/>
          </w:tcPr>
          <w:p>
            <w:pPr>
              <w:jc w:val="center"/>
              <w:rPr>
                <w:rFonts w:hint="eastAsia"/>
                <w:sz w:val="24"/>
                <w:szCs w:val="24"/>
              </w:rPr>
            </w:pPr>
            <w:r>
              <w:rPr>
                <w:rFonts w:hint="eastAsia" w:ascii="仿宋_GB2312" w:hAnsi="仿宋_GB2312" w:eastAsia="仿宋_GB2312" w:cs="仿宋_GB2312"/>
                <w:sz w:val="24"/>
                <w:szCs w:val="24"/>
              </w:rPr>
              <w:t>职务</w:t>
            </w:r>
          </w:p>
        </w:tc>
        <w:tc>
          <w:tcPr>
            <w:tcW w:w="175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手机</w:t>
            </w:r>
          </w:p>
        </w:tc>
        <w:tc>
          <w:tcPr>
            <w:tcW w:w="675" w:type="dxa"/>
            <w:vAlign w:val="center"/>
          </w:tcPr>
          <w:p>
            <w:pPr>
              <w:jc w:val="center"/>
              <w:rPr>
                <w:rFonts w:hint="eastAsia"/>
                <w:sz w:val="24"/>
                <w:szCs w:val="24"/>
              </w:rPr>
            </w:pPr>
            <w:r>
              <w:rPr>
                <w:rFonts w:hint="eastAsia"/>
                <w:sz w:val="24"/>
                <w:szCs w:val="24"/>
              </w:rPr>
              <w:t>QQ</w:t>
            </w:r>
          </w:p>
        </w:tc>
        <w:tc>
          <w:tcPr>
            <w:tcW w:w="203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675" w:type="dxa"/>
            <w:vAlign w:val="center"/>
          </w:tcPr>
          <w:p>
            <w:pPr>
              <w:jc w:val="center"/>
              <w:rPr>
                <w:rFonts w:hint="eastAsia"/>
                <w:sz w:val="24"/>
                <w:szCs w:val="24"/>
              </w:rPr>
            </w:pPr>
            <w:r>
              <w:rPr>
                <w:rFonts w:hint="eastAsia" w:ascii="仿宋_GB2312" w:hAnsi="仿宋_GB2312" w:eastAsia="仿宋_GB2312" w:cs="仿宋_GB2312"/>
                <w:sz w:val="24"/>
                <w:szCs w:val="24"/>
              </w:rPr>
              <w:t>邮箱</w:t>
            </w:r>
          </w:p>
        </w:tc>
        <w:tc>
          <w:tcPr>
            <w:tcW w:w="2030"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w:t>
            </w:r>
          </w:p>
          <w:p>
            <w:pPr>
              <w:jc w:val="center"/>
              <w:rPr>
                <w:rFonts w:hint="eastAsia" w:ascii="仿宋_GB2312" w:hAnsi="仿宋_GB2312" w:eastAsia="仿宋_GB2312" w:cs="仿宋_GB2312"/>
                <w:sz w:val="24"/>
                <w:szCs w:val="24"/>
              </w:rPr>
            </w:pPr>
          </w:p>
          <w:p>
            <w:pPr>
              <w:jc w:val="center"/>
              <w:rPr>
                <w:rFonts w:hint="eastAsia"/>
                <w:sz w:val="24"/>
                <w:szCs w:val="24"/>
              </w:rPr>
            </w:pPr>
            <w:r>
              <w:rPr>
                <w:rFonts w:hint="eastAsia" w:ascii="仿宋_GB2312" w:hAnsi="仿宋_GB2312" w:eastAsia="仿宋_GB2312" w:cs="仿宋_GB2312"/>
                <w:sz w:val="24"/>
                <w:szCs w:val="24"/>
              </w:rPr>
              <w:t>师</w:t>
            </w: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建议与</w:t>
            </w:r>
          </w:p>
          <w:p>
            <w:pPr>
              <w:jc w:val="center"/>
              <w:rPr>
                <w:rFonts w:hint="eastAsia"/>
                <w:sz w:val="24"/>
                <w:szCs w:val="24"/>
              </w:rPr>
            </w:pPr>
            <w:r>
              <w:rPr>
                <w:rFonts w:hint="eastAsia" w:ascii="仿宋_GB2312" w:hAnsi="仿宋_GB2312" w:eastAsia="仿宋_GB2312" w:cs="仿宋_GB2312"/>
                <w:sz w:val="24"/>
                <w:szCs w:val="24"/>
              </w:rPr>
              <w:t>征询</w:t>
            </w:r>
          </w:p>
        </w:tc>
        <w:tc>
          <w:tcPr>
            <w:tcW w:w="8715" w:type="dxa"/>
            <w:gridSpan w:val="7"/>
            <w:vAlign w:val="center"/>
          </w:tcPr>
          <w:p>
            <w:pPr>
              <w:rPr>
                <w:rFonts w:hint="eastAsia"/>
                <w:sz w:val="24"/>
                <w:szCs w:val="24"/>
              </w:rPr>
            </w:pPr>
            <w:r>
              <w:rPr>
                <w:rFonts w:hint="eastAsia" w:ascii="仿宋_GB2312" w:eastAsia="仿宋_GB2312" w:cs="仿宋_GB2312"/>
                <w:sz w:val="24"/>
              </w:rPr>
              <w:t>对讲课议题的建议及发言材料：（可另附纸传真至会务组，或电子版发至报名邮箱）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汇款方式</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lang w:val="en-US" w:eastAsia="zh-CN"/>
              </w:rPr>
              <w:t>开户银行：中国工商银行北京房山支行良乡分理处</w:t>
            </w:r>
            <w:r>
              <w:rPr>
                <w:rFonts w:hint="eastAsia" w:ascii="仿宋_GB2312" w:eastAsia="仿宋_GB2312" w:cs="仿宋_GB2312"/>
                <w:sz w:val="24"/>
                <w:lang w:val="en-US" w:eastAsia="zh-CN"/>
              </w:rPr>
              <w:br w:type="textWrapping"/>
            </w:r>
            <w:r>
              <w:rPr>
                <w:rFonts w:hint="eastAsia" w:ascii="仿宋_GB2312" w:eastAsia="仿宋_GB2312" w:cs="仿宋_GB2312"/>
                <w:sz w:val="24"/>
                <w:lang w:val="en-US" w:eastAsia="zh-CN"/>
              </w:rPr>
              <w:t>帐户名称：北京成长智慧教育科技有限公司  </w:t>
            </w:r>
            <w:r>
              <w:rPr>
                <w:rFonts w:hint="eastAsia" w:ascii="仿宋_GB2312" w:eastAsia="仿宋_GB2312" w:cs="仿宋_GB2312"/>
                <w:sz w:val="24"/>
                <w:lang w:val="en-US" w:eastAsia="zh-CN"/>
              </w:rPr>
              <w:br w:type="textWrapping"/>
            </w:r>
            <w:r>
              <w:rPr>
                <w:rFonts w:hint="eastAsia" w:ascii="仿宋_GB2312" w:eastAsia="仿宋_GB2312" w:cs="仿宋_GB2312"/>
                <w:sz w:val="24"/>
                <w:lang w:val="en-US" w:eastAsia="zh-CN"/>
              </w:rPr>
              <w:t>帐    号：0200 3169 0920 0012 149 </w:t>
            </w:r>
          </w:p>
          <w:p>
            <w:pPr>
              <w:rPr>
                <w:rFonts w:hint="eastAsia"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住宿要求</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深圳</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rFonts w:hint="eastAsia"/>
                <w:sz w:val="24"/>
                <w:szCs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港澳考察</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确认</w:t>
            </w:r>
          </w:p>
        </w:tc>
        <w:tc>
          <w:tcPr>
            <w:tcW w:w="8715" w:type="dxa"/>
            <w:gridSpan w:val="7"/>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），共</w:t>
            </w:r>
            <w:r>
              <w:rPr>
                <w:rFonts w:ascii="仿宋_GB2312" w:eastAsia="仿宋_GB2312" w:cs="仿宋_GB2312"/>
                <w:sz w:val="24"/>
                <w:u w:val="single"/>
              </w:rPr>
              <w:t xml:space="preserve">     </w:t>
            </w:r>
            <w:r>
              <w:rPr>
                <w:rFonts w:hint="eastAsia" w:ascii="仿宋_GB2312" w:eastAsia="仿宋_GB2312" w:cs="仿宋_GB2312"/>
                <w:sz w:val="24"/>
                <w:u w:val="none"/>
                <w:lang w:eastAsia="zh-CN"/>
              </w:rPr>
              <w:t>人，姓名：</w:t>
            </w:r>
            <w:r>
              <w:rPr>
                <w:rFonts w:hint="eastAsia" w:ascii="仿宋_GB2312" w:eastAsia="仿宋_GB2312" w:cs="仿宋_GB2312"/>
                <w:sz w:val="24"/>
                <w:u w:val="single"/>
                <w:lang w:val="en-US" w:eastAsia="zh-CN"/>
              </w:rPr>
              <w:t xml:space="preserve">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否</w:t>
            </w:r>
            <w:r>
              <w:rPr>
                <w:rFonts w:hint="eastAsia" w:ascii="仿宋_GB2312" w:hAnsi="仿宋_GB2312" w:eastAsia="仿宋_GB2312" w:cs="仿宋_GB2312"/>
                <w:sz w:val="24"/>
                <w:szCs w:val="24"/>
                <w:lang w:val="en-US" w:eastAsia="zh-CN"/>
              </w:rPr>
              <w:t>（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注：请在（）打</w:t>
            </w:r>
            <w:r>
              <w:rPr>
                <w:rFonts w:hint="default" w:ascii="Arial" w:hAnsi="Arial" w:eastAsia="仿宋_GB2312" w:cs="Arial"/>
                <w:sz w:val="24"/>
                <w:szCs w:val="24"/>
                <w:lang w:val="en-US" w:eastAsia="zh-CN"/>
              </w:rPr>
              <w:t>√</w:t>
            </w:r>
            <w:r>
              <w:rPr>
                <w:rFonts w:hint="eastAsia" w:ascii="Arial" w:hAnsi="Arial" w:eastAsia="仿宋_GB2312" w:cs="Arial"/>
                <w:sz w:val="24"/>
                <w:szCs w:val="24"/>
                <w:lang w:val="en-US" w:eastAsia="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单位意见</w:t>
            </w:r>
          </w:p>
        </w:tc>
        <w:tc>
          <w:tcPr>
            <w:tcW w:w="8715" w:type="dxa"/>
            <w:gridSpan w:val="7"/>
            <w:vAlign w:val="center"/>
          </w:tcPr>
          <w:p>
            <w:pPr>
              <w:jc w:val="left"/>
              <w:rPr>
                <w:rFonts w:hint="eastAsia"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我单位同意选派以上  位老师参加   月   日</w:t>
            </w:r>
            <w:r>
              <w:rPr>
                <w:rFonts w:hint="eastAsia" w:ascii="楷体_GB2312" w:hAnsi="楷体_GB2312" w:eastAsia="楷体_GB2312" w:cs="楷体_GB2312"/>
                <w:b w:val="0"/>
                <w:bCs w:val="0"/>
                <w:sz w:val="24"/>
                <w:szCs w:val="24"/>
                <w:lang w:eastAsia="zh-CN"/>
              </w:rPr>
              <w:t>首届中学两岸三地生涯规划教育论坛</w:t>
            </w:r>
          </w:p>
          <w:p>
            <w:pPr>
              <w:jc w:val="left"/>
              <w:rPr>
                <w:rFonts w:hint="eastAsia" w:ascii="仿宋_GB2312" w:eastAsia="仿宋_GB2312" w:cs="仿宋_GB2312"/>
                <w:sz w:val="24"/>
              </w:rPr>
            </w:pPr>
            <w:r>
              <w:rPr>
                <w:rFonts w:hint="eastAsia" w:ascii="仿宋_GB2312" w:eastAsia="仿宋_GB2312" w:cs="仿宋_GB2312"/>
                <w:sz w:val="24"/>
              </w:rPr>
              <w:t xml:space="preserve">                                       单位盖章</w:t>
            </w:r>
          </w:p>
          <w:p>
            <w:pPr>
              <w:jc w:val="left"/>
              <w:rPr>
                <w:rFonts w:hint="eastAsia"/>
                <w:szCs w:val="21"/>
              </w:rPr>
            </w:pPr>
            <w:r>
              <w:rPr>
                <w:rFonts w:hint="eastAsia" w:ascii="仿宋_GB2312" w:eastAsia="仿宋_GB2312" w:cs="仿宋_GB2312"/>
                <w:sz w:val="24"/>
              </w:rPr>
              <w:t xml:space="preserve">                                      年   月   日     </w:t>
            </w:r>
            <w:r>
              <w:rPr>
                <w:rFonts w:hint="eastAsia"/>
                <w:szCs w:val="21"/>
              </w:rPr>
              <w:t xml:space="preserve">        </w:t>
            </w:r>
          </w:p>
        </w:tc>
      </w:tr>
    </w:tbl>
    <w:p>
      <w:pPr>
        <w:rPr>
          <w:rFonts w:hint="eastAsia" w:ascii="楷体_GB2312" w:hAnsi="楷体_GB2312" w:eastAsia="楷体_GB2312" w:cs="楷体_GB2312"/>
          <w:b/>
          <w:bCs/>
          <w:szCs w:val="21"/>
          <w:lang w:eastAsia="zh-CN"/>
        </w:rPr>
      </w:pPr>
      <w:r>
        <w:rPr>
          <w:rFonts w:hint="eastAsia" w:ascii="楷体" w:hAnsi="楷体" w:eastAsia="楷体" w:cs="楷体"/>
        </w:rPr>
        <w:t>注：参会人数多于十一人以上单位可自行复制报名表。（会务组统一开具发票，发票内容为会务费或培训费）。汇款后请将汇款单扫描件发至:</w:t>
      </w:r>
      <w:r>
        <w:t xml:space="preserve"> </w:t>
      </w:r>
      <w:r>
        <w:rPr>
          <w:rFonts w:ascii="楷体" w:hAnsi="楷体" w:eastAsia="楷体" w:cs="楷体"/>
        </w:rPr>
        <w:t>nyltlihai@126.com</w:t>
      </w:r>
      <w:r>
        <w:rPr>
          <w:rFonts w:hint="eastAsia" w:ascii="楷体" w:hAnsi="楷体" w:eastAsia="楷体" w:cs="楷体"/>
        </w:rPr>
        <w:t>,并注明开票单位和内容。</w:t>
      </w:r>
    </w:p>
    <w:sectPr>
      <w:footerReference r:id="rId3" w:type="default"/>
      <w:pgSz w:w="11906" w:h="16838"/>
      <w:pgMar w:top="952" w:right="1406" w:bottom="918"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D5FD265-C3F2-4488-9111-FFCE0F074D0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E37B4945-6EDF-4C5E-BF8F-4AE828FBD52C}"/>
  </w:font>
  <w:font w:name="锐字云字库小标宋体1.0">
    <w:altName w:val="宋体"/>
    <w:panose1 w:val="02010604000000000000"/>
    <w:charset w:val="86"/>
    <w:family w:val="auto"/>
    <w:pitch w:val="default"/>
    <w:sig w:usb0="00000000" w:usb1="00000000" w:usb2="00000000" w:usb3="00000000" w:csb0="00040001" w:csb1="00000000"/>
    <w:embedRegular r:id="rId3" w:fontKey="{EA3DC796-BD87-47E2-A204-EE48EE37CA05}"/>
  </w:font>
  <w:font w:name="楷体_GB2312">
    <w:panose1 w:val="02010609030101010101"/>
    <w:charset w:val="86"/>
    <w:family w:val="modern"/>
    <w:pitch w:val="default"/>
    <w:sig w:usb0="00000000" w:usb1="00000000" w:usb2="00000000" w:usb3="00000000" w:csb0="00000000" w:csb1="00000000"/>
    <w:embedRegular r:id="rId4" w:fontKey="{35930711-601B-4E8B-AE42-85C926689738}"/>
  </w:font>
  <w:font w:name="仿宋_GB2312">
    <w:panose1 w:val="02010609030101010101"/>
    <w:charset w:val="86"/>
    <w:family w:val="modern"/>
    <w:pitch w:val="default"/>
    <w:sig w:usb0="00000000" w:usb1="00000000" w:usb2="00000000" w:usb3="00000000" w:csb0="00000000" w:csb1="00000000"/>
    <w:embedRegular r:id="rId5" w:fontKey="{4117AA0B-2821-4866-A10B-3DEECFA6CD69}"/>
  </w:font>
  <w:font w:name="Arial">
    <w:panose1 w:val="020B0604020202020204"/>
    <w:charset w:val="00"/>
    <w:family w:val="auto"/>
    <w:pitch w:val="default"/>
    <w:sig w:usb0="E0002AFF" w:usb1="C0007843" w:usb2="00000009" w:usb3="00000000" w:csb0="400001FF" w:csb1="FFFF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embedRegular r:id="rId6" w:fontKey="{EFFB96FE-4EBB-4000-80D0-821C22AF0A5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大标宋体 1.0">
    <w:altName w:val="宋体"/>
    <w:panose1 w:val="02010604000000000000"/>
    <w:charset w:val="86"/>
    <w:family w:val="auto"/>
    <w:pitch w:val="default"/>
    <w:sig w:usb0="00000000" w:usb1="00000000" w:usb2="00000000" w:usb3="00000000" w:csb0="00000000" w:csb1="00000000"/>
    <w:embedRegular r:id="rId7" w:fontKey="{7F300779-DE3E-4BAA-AAFC-3394C5855B68}"/>
  </w:font>
  <w:font w:name="Calibri Light">
    <w:panose1 w:val="020F0302020204030204"/>
    <w:charset w:val="00"/>
    <w:family w:val="auto"/>
    <w:pitch w:val="default"/>
    <w:sig w:usb0="A00002EF" w:usb1="4000207B" w:usb2="00000000" w:usb3="00000000" w:csb0="2000019F" w:csb1="00000000"/>
  </w:font>
  <w:font w:name="锐字云字库粗黑体1.0">
    <w:altName w:val="黑体"/>
    <w:panose1 w:val="02010604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BC0FB"/>
    <w:multiLevelType w:val="singleLevel"/>
    <w:tmpl w:val="552BC0F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692B"/>
    <w:rsid w:val="01490C83"/>
    <w:rsid w:val="02B84952"/>
    <w:rsid w:val="03035E53"/>
    <w:rsid w:val="037D13BC"/>
    <w:rsid w:val="057D4563"/>
    <w:rsid w:val="06DB55E2"/>
    <w:rsid w:val="07D832BA"/>
    <w:rsid w:val="09371592"/>
    <w:rsid w:val="09FB1C85"/>
    <w:rsid w:val="0A007087"/>
    <w:rsid w:val="0A1A13E3"/>
    <w:rsid w:val="0BDA6F77"/>
    <w:rsid w:val="13280F7E"/>
    <w:rsid w:val="13FE57E1"/>
    <w:rsid w:val="14B07730"/>
    <w:rsid w:val="168457DD"/>
    <w:rsid w:val="1F9D5B20"/>
    <w:rsid w:val="20DD08D3"/>
    <w:rsid w:val="217752B4"/>
    <w:rsid w:val="21966AFD"/>
    <w:rsid w:val="2415218B"/>
    <w:rsid w:val="25842C0E"/>
    <w:rsid w:val="2615713C"/>
    <w:rsid w:val="2A5E5BBD"/>
    <w:rsid w:val="2AD90782"/>
    <w:rsid w:val="2D162367"/>
    <w:rsid w:val="2DCE773D"/>
    <w:rsid w:val="2EA75DCE"/>
    <w:rsid w:val="31CA19FB"/>
    <w:rsid w:val="32D62B68"/>
    <w:rsid w:val="338D01FA"/>
    <w:rsid w:val="33AC1EDB"/>
    <w:rsid w:val="37B00DA6"/>
    <w:rsid w:val="39032C98"/>
    <w:rsid w:val="39F56221"/>
    <w:rsid w:val="3D5F26C9"/>
    <w:rsid w:val="40AF09F8"/>
    <w:rsid w:val="41A06AB6"/>
    <w:rsid w:val="41E25640"/>
    <w:rsid w:val="421D377F"/>
    <w:rsid w:val="42511356"/>
    <w:rsid w:val="43220E6E"/>
    <w:rsid w:val="454E45C2"/>
    <w:rsid w:val="4610318C"/>
    <w:rsid w:val="47C3160C"/>
    <w:rsid w:val="4A6C080E"/>
    <w:rsid w:val="4A751D97"/>
    <w:rsid w:val="4A7814BF"/>
    <w:rsid w:val="4AB8632B"/>
    <w:rsid w:val="4C43346D"/>
    <w:rsid w:val="4D3B3CA9"/>
    <w:rsid w:val="4EB54C82"/>
    <w:rsid w:val="4FD50D32"/>
    <w:rsid w:val="50BC3D5E"/>
    <w:rsid w:val="50E8486F"/>
    <w:rsid w:val="539867AE"/>
    <w:rsid w:val="54867CC7"/>
    <w:rsid w:val="56C606E7"/>
    <w:rsid w:val="58AA1E54"/>
    <w:rsid w:val="5A3C2461"/>
    <w:rsid w:val="5ACA2CC8"/>
    <w:rsid w:val="5CD044CF"/>
    <w:rsid w:val="5F5053A8"/>
    <w:rsid w:val="5F642DE4"/>
    <w:rsid w:val="5FE522B0"/>
    <w:rsid w:val="613E5C06"/>
    <w:rsid w:val="622C7973"/>
    <w:rsid w:val="644966AA"/>
    <w:rsid w:val="653468DD"/>
    <w:rsid w:val="65B113F6"/>
    <w:rsid w:val="65E64F20"/>
    <w:rsid w:val="669E3D8F"/>
    <w:rsid w:val="66F31BF5"/>
    <w:rsid w:val="682E33BD"/>
    <w:rsid w:val="6859619C"/>
    <w:rsid w:val="69150AC6"/>
    <w:rsid w:val="6A0B270E"/>
    <w:rsid w:val="6F200CB8"/>
    <w:rsid w:val="6F5249E8"/>
    <w:rsid w:val="742208A2"/>
    <w:rsid w:val="75473D8C"/>
    <w:rsid w:val="76170BE2"/>
    <w:rsid w:val="763A6406"/>
    <w:rsid w:val="764312B8"/>
    <w:rsid w:val="77640DC4"/>
    <w:rsid w:val="7ACF7F65"/>
    <w:rsid w:val="7C7D0BEA"/>
    <w:rsid w:val="7D1615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qFormat/>
    <w:uiPriority w:val="0"/>
    <w:rPr>
      <w:color w:val="0000FF"/>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2016-11-28T00:39:06Z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