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72"/>
          <w:szCs w:val="72"/>
        </w:rPr>
      </w:pPr>
      <w:r>
        <w:rPr>
          <w:rFonts w:hint="eastAsia" w:eastAsia="宋体"/>
          <w:b/>
          <w:bCs/>
          <w:color w:val="FF0000"/>
          <w:sz w:val="72"/>
          <w:szCs w:val="72"/>
        </w:rPr>
        <w:t>学生发展指导专业委员会</w:t>
      </w:r>
      <w:r>
        <w:rPr>
          <w:rFonts w:eastAsia="宋体"/>
          <w:b/>
          <w:bCs/>
          <w:color w:val="FF0000"/>
          <w:sz w:val="72"/>
          <w:szCs w:val="72"/>
          <w:lang w:val="zh-CN"/>
        </w:rPr>
        <w:pict>
          <v:line id="Line 2" o:spid="_x0000_s1026" o:spt="20" style="position:absolute;left:0pt;margin-left:-19.7pt;margin-top:43.95pt;height:0.05pt;width:468pt;z-index:251660288;mso-width-relative:page;mso-height-relative:page;" stroked="t" coordsize="21600,21600" o:gfxdata="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tB3KbZAAAACQEAAA8AAAAAAAAAAQAgAAAAIgAAAGRycy9kb3du&#10;cmV2LnhtbFBLAQIUABQAAAAIAIdO4kA8J+YGxQEAAI4DAAAOAAAAAAAAAAEAIAAAACgBAABkcnMv&#10;ZTJvRG9jLnhtbFBLBQYAAAAABgAGAFkBAABfBQAAAAA=&#10;">
            <v:path arrowok="t"/>
            <v:fill focussize="0,0"/>
            <v:stroke weight="2.25pt" color="#FF0000"/>
            <v:imagedata o:title=""/>
            <o:lock v:ext="edit"/>
          </v:line>
        </w:pict>
      </w:r>
    </w:p>
    <w:p>
      <w:pPr>
        <w:spacing w:beforeLines="50" w:afterLines="50"/>
        <w:jc w:val="distribute"/>
        <w:rPr>
          <w:b/>
          <w:bCs/>
          <w:sz w:val="32"/>
          <w:szCs w:val="32"/>
        </w:rPr>
      </w:pPr>
      <w:r>
        <w:rPr>
          <w:rFonts w:hint="eastAsia"/>
          <w:b/>
          <w:bCs/>
          <w:sz w:val="32"/>
          <w:szCs w:val="32"/>
        </w:rPr>
        <w:t>关于开展全国高中“高考志愿咨询师”岗位能力培训通知</w:t>
      </w:r>
    </w:p>
    <w:p>
      <w:pPr>
        <w:pStyle w:val="6"/>
        <w:shd w:val="clear" w:color="auto" w:fill="FFFFFF"/>
        <w:spacing w:before="0" w:beforeAutospacing="0" w:after="0" w:afterAutospacing="0" w:line="420" w:lineRule="atLeast"/>
        <w:rPr>
          <w:rFonts w:ascii="楷体_GB2312" w:hAnsi="楷体_GB2312" w:eastAsia="楷体_GB2312" w:cs="楷体_GB2312"/>
          <w:b/>
          <w:bCs/>
          <w:kern w:val="2"/>
          <w:sz w:val="28"/>
          <w:szCs w:val="28"/>
        </w:rPr>
      </w:pPr>
      <w:r>
        <w:rPr>
          <w:rFonts w:hint="eastAsia" w:ascii="楷体_GB2312" w:hAnsi="楷体_GB2312" w:eastAsia="楷体_GB2312" w:cs="楷体_GB2312"/>
          <w:b/>
          <w:bCs/>
          <w:kern w:val="2"/>
          <w:sz w:val="28"/>
          <w:szCs w:val="28"/>
        </w:rPr>
        <w:t>各地教育局、高中、职业学校：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2017年6月，中国高考改革试点浙江省将迎来高考新政以来的第一次正式高考！也意味着2017年-2020年全国的学校及学生将面临一件重要的大事--高考改革！全国高考改革向取消文理分科、3+x的录取模式、英语考试变革、本一本二合并等等方向发展，将有18个省份将实行新的高考政策！</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新的高考政策意味着，从高一开始，学生就要大体确定自己的选课方向，进行”6选 3 或7选3”的课程选择和“走班制，分层教学”等的新的学习内容和形式，而作为重中之重选课的依据将根据学生的学科特长、高考目标专业、人生发展目标等的专业测评数据和内容来确定，而这需要建立在对学生进行专业的生涯教育和成长指导的基础上进行！而从中国目前的高中教育实际情况看，无论从专业的成长导师还是测评工具和课程都极为欠缺！严重制约了学生的发展指导水平！</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专业开发适用于中学阶段学生的发展指导培训与工具研发项目，其中有高考志愿填报、高中阶段的3+X选科测评、大学专业目标定位测评、自主招生综合评估、学生生涯发展测评等，解决学生高中选课难、大学专业选择难、高考志愿填报难以及专业老师指导工具难的问题。</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为了帮助全国学校科学有效的指导学生填报高考志愿，帮助学校培养一批合格的高考志愿咨询师，中国人生科学学会学生发展指导专业委员会</w:t>
      </w:r>
      <w:r>
        <w:rPr>
          <w:rFonts w:hint="eastAsia" w:ascii="楷体_GB2312" w:hAnsi="楷体_GB2312" w:eastAsia="楷体_GB2312" w:cs="楷体_GB2312"/>
          <w:sz w:val="28"/>
          <w:szCs w:val="28"/>
          <w:lang w:eastAsia="zh-CN"/>
        </w:rPr>
        <w:t>与</w:t>
      </w:r>
      <w:r>
        <w:rPr>
          <w:rFonts w:hint="eastAsia" w:ascii="楷体_GB2312" w:hAnsi="楷体_GB2312" w:eastAsia="楷体_GB2312" w:cs="楷体_GB2312"/>
          <w:sz w:val="28"/>
          <w:szCs w:val="28"/>
        </w:rPr>
        <w:t>中国学校生涯规划教育网、烟台日报传媒集团联合召开“全国高中高考志愿咨询师岗位能力培训班”，旨在为学校培养和建设专业的高考志愿咨询师队伍，提升学校高校录取质量和考生满意度。相关事宜如下</w:t>
      </w:r>
    </w:p>
    <w:p>
      <w:pPr>
        <w:widowControl/>
        <w:rPr>
          <w:rStyle w:val="8"/>
          <w:szCs w:val="21"/>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主办单位：中国人生科学学会学生发展指导专业委员会</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支持单位：高考志愿填报与学生未来发展研究总课题组</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烟台日报传媒集团   选未来智慧  中国新教育研修网</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承办单位：北京成长智慧</w:t>
      </w:r>
      <w:r>
        <w:rPr>
          <w:rFonts w:hint="eastAsia" w:ascii="楷体_GB2312" w:hAnsi="楷体_GB2312" w:eastAsia="楷体_GB2312" w:cs="楷体_GB2312"/>
          <w:b/>
          <w:bCs/>
          <w:sz w:val="28"/>
          <w:szCs w:val="28"/>
          <w:lang w:eastAsia="zh-CN"/>
        </w:rPr>
        <w:t>教育</w:t>
      </w:r>
      <w:r>
        <w:rPr>
          <w:rFonts w:hint="eastAsia" w:ascii="楷体_GB2312" w:hAnsi="楷体_GB2312" w:eastAsia="楷体_GB2312" w:cs="楷体_GB2312"/>
          <w:b/>
          <w:bCs/>
          <w:sz w:val="28"/>
          <w:szCs w:val="28"/>
        </w:rPr>
        <w:t xml:space="preserve">科技有限公司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一、培训目标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1、培养专家型高考志愿咨询辅导人才，以提供志愿规划咨询、填报指导等专业服务。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2、在职业规划的理论指导下，系统掌握高考政策和录取规则，了解全国高校和专业设置，掌握高考志愿填报的方法和技巧。</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3、能有效运用高考志愿杠杆激发学生学习动力，指导学业规划，提升高考成绩。</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二、培训特色</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培训认证</w:t>
      </w:r>
      <w:r>
        <w:rPr>
          <w:rFonts w:hint="eastAsia" w:ascii="楷体_GB2312" w:hAnsi="楷体_GB2312" w:eastAsia="楷体_GB2312" w:cs="楷体_GB2312"/>
          <w:sz w:val="28"/>
          <w:szCs w:val="28"/>
        </w:rPr>
        <w:t>：按照国家级高考志愿咨询师课程体系组织培训，学员学完规定课程并考试合格后，由中国人生科学学会学生发展指导专业委员会颁发全国高中“高考志愿咨询师”岗位能力培训证书（输入编号网上可查）。</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师 资</w:t>
      </w:r>
      <w:r>
        <w:rPr>
          <w:rFonts w:hint="eastAsia" w:ascii="楷体_GB2312" w:hAnsi="楷体_GB2312" w:eastAsia="楷体_GB2312" w:cs="楷体_GB2312"/>
          <w:sz w:val="28"/>
          <w:szCs w:val="28"/>
        </w:rPr>
        <w:t>：凝结我国高考志愿研究、升学规划教育开创者、国际生涯教育大师、国内高考志愿填报优秀从业经验者。</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实操落地技术</w:t>
      </w:r>
      <w:r>
        <w:rPr>
          <w:rFonts w:hint="eastAsia" w:ascii="楷体_GB2312" w:hAnsi="楷体_GB2312" w:eastAsia="楷体_GB2312" w:cs="楷体_GB2312"/>
          <w:sz w:val="28"/>
          <w:szCs w:val="28"/>
        </w:rPr>
        <w:t>：立足本土国情，引入国际先进学生发展指导技术及教学培训理念。互动式、体验式教学，以真实案例分析巩固所学理论和技法。</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个人成长</w:t>
      </w:r>
      <w:r>
        <w:rPr>
          <w:rFonts w:hint="eastAsia" w:ascii="楷体_GB2312" w:hAnsi="楷体_GB2312" w:eastAsia="楷体_GB2312" w:cs="楷体_GB2312"/>
          <w:sz w:val="28"/>
          <w:szCs w:val="28"/>
        </w:rPr>
        <w:t>：1、获得学业规划，职业生涯规划及高考报考相关知识体系；</w:t>
      </w:r>
    </w:p>
    <w:p>
      <w:pPr>
        <w:numPr>
          <w:ilvl w:val="0"/>
          <w:numId w:val="1"/>
        </w:numPr>
        <w:spacing w:line="38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可获得全国高考志愿咨询师岗位能力培训合格证书，有机会签约中国学生发展指导专业委员会的专家库；3、培训考试合格有机会成为学生发展指导专业委员会高考志愿填报服务平台签约咨询师，进行有偿志愿填报咨询服务；4、项目组邀请优秀学员成为总课题组核心专家，在以后的培训会、研讨会等活动中以专家身份出席活动，并获得课酬！5、可参加各类志愿填报、高校招生等活动的资格。</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三、培训对象：</w:t>
      </w:r>
      <w:r>
        <w:rPr>
          <w:rFonts w:hint="eastAsia" w:ascii="楷体_GB2312" w:hAnsi="楷体_GB2312" w:eastAsia="楷体_GB2312" w:cs="楷体_GB2312"/>
          <w:sz w:val="28"/>
          <w:szCs w:val="28"/>
        </w:rPr>
        <w:t>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教育研究人员，大学和高中教师，心理咨询从业者，职业生涯规划从业者，有志于从事高考志愿填报辅导的人群。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四、培训时间、地点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2017年3月16日—21日（16日报到）  山东烟台</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注：因培训课程活动以实操为主，所以每期只招生100名学员，额满为止！</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五、课程大纲</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第一天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主题一 ：高考志愿规划的意义和价值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从生涯发展看高考志愿填报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高考志愿咨询师行业发展现状与趋势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高考招生考试改革新政解读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新高考背景下高考志愿规划的机遇与挑战</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主题二：高考志愿咨询师的工作流程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高考志愿填报的现状与常见误区</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高考规划师工作流程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主题三： 如何科学选专业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大学专业设置与解读：学科门类、专业分类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专业选择的理论依据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帮助学生了解专业与职业的关系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高考志愿决策与生涯规划模型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主题四 ：如何科学选大学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中国大学的院校分布与层次类别</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大学与产业发展及就业的关系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985大学、211大学与部分特色大学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大学校区、分校与独立学院</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影响选择院校的若干要素及其策略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目标大学的情报搜集与考察</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第二天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主题五 ：用志愿目标引领高中学业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基于职业规划的高考志愿规划操作理念</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志愿定向与定位</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如何平衡选专业、选大学的关系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高考志愿与职业目标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高考志愿与学科选择及学业目标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主题六 ：高招政策及批次设置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全国普通高校的招生政策规定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提前批次招生：免费师范生/艺术/体育/军事/公安/司法/国防生/小语种等</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特殊批次招生：自主招生、高水平艺术团、高水平运动队</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正常批次招生：正常批次一二三批、中外合作办学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非计划内报考：港澳台、出国留学</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第三天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主题七 ：平行志愿的精准解读及其实战操作</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平行志愿及录取的基本原理、录取规则</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平行志愿填报的三个关键字：冲稳保</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"冲一冲"要冲的小心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"稳一稳"要稳的可心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"保一保"要保的放心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关于平行志愿的一些特殊注意事项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平行志愿填报的风险及典型案例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数据应用及科学填报指导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志愿填报经典案例分析及模拟实战训练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主题八 ：咨询服务规范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高考志愿咨询服务流程与规范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客户接待与面谈注意要点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咨询服务常见问题处理</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主题九 ：高考志愿咨询师的职业发展</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高考志愿咨询师必备的素质和能力</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高考志愿咨询业务的市场开拓与运营</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高考志愿咨询师品牌塑造与价值提升</w:t>
      </w:r>
    </w:p>
    <w:p>
      <w:pPr>
        <w:spacing w:line="380" w:lineRule="exact"/>
        <w:ind w:firstLine="560" w:firstLineChars="20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特别提示：第三天晚上</w:t>
      </w:r>
      <w:r>
        <w:rPr>
          <w:rFonts w:hint="eastAsia" w:ascii="楷体_GB2312" w:hAnsi="楷体_GB2312" w:eastAsia="楷体_GB2312" w:cs="楷体_GB2312"/>
          <w:b/>
          <w:bCs/>
          <w:sz w:val="28"/>
          <w:szCs w:val="28"/>
          <w:lang w:val="en-US" w:eastAsia="zh-CN"/>
        </w:rPr>
        <w:t>7点召开智能填报平台使用说明会！</w:t>
      </w:r>
    </w:p>
    <w:p>
      <w:pPr>
        <w:spacing w:line="380" w:lineRule="exact"/>
        <w:ind w:firstLine="56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第四天</w:t>
      </w:r>
    </w:p>
    <w:p>
      <w:pPr>
        <w:spacing w:line="3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主题十：填报高考志愿选择专业9个维度</w:t>
      </w:r>
    </w:p>
    <w:p>
      <w:pPr>
        <w:spacing w:line="3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1.7个维度选大学2、9个维度选专业3、《招生章程》志愿指导必</w:t>
      </w:r>
    </w:p>
    <w:p>
      <w:pPr>
        <w:spacing w:line="3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须高度关注的问题   4、了解院校的途径有哪些</w:t>
      </w:r>
    </w:p>
    <w:p>
      <w:pPr>
        <w:numPr>
          <w:ilvl w:val="0"/>
          <w:numId w:val="2"/>
        </w:numPr>
        <w:spacing w:line="3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填报志愿需要理顺的几个关系</w:t>
      </w:r>
    </w:p>
    <w:p>
      <w:pPr>
        <w:numPr>
          <w:ilvl w:val="0"/>
          <w:numId w:val="0"/>
        </w:numPr>
        <w:spacing w:line="380" w:lineRule="exact"/>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6、未来高考的志愿改革走向与浙江填报志愿模式改革</w:t>
      </w:r>
    </w:p>
    <w:p>
      <w:pPr>
        <w:numPr>
          <w:ilvl w:val="0"/>
          <w:numId w:val="3"/>
        </w:numPr>
        <w:spacing w:line="3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填报志愿经典案例分析8、志愿指导时必备知识与能力构成</w:t>
      </w:r>
    </w:p>
    <w:p>
      <w:pPr>
        <w:numPr>
          <w:ilvl w:val="0"/>
          <w:numId w:val="0"/>
        </w:numPr>
        <w:spacing w:line="380" w:lineRule="exact"/>
        <w:rPr>
          <w:rFonts w:hint="eastAsia" w:ascii="楷体_GB2312" w:hAnsi="楷体_GB2312" w:eastAsia="楷体_GB2312" w:cs="楷体_GB2312"/>
          <w:b/>
          <w:bCs/>
          <w:sz w:val="28"/>
          <w:szCs w:val="28"/>
        </w:rPr>
      </w:pPr>
      <w:r>
        <w:rPr>
          <w:rFonts w:hint="eastAsia" w:ascii="楷体_GB2312" w:hAnsi="楷体_GB2312" w:eastAsia="楷体_GB2312" w:cs="楷体_GB2312"/>
          <w:sz w:val="28"/>
          <w:szCs w:val="28"/>
          <w:lang w:val="en-US" w:eastAsia="zh-CN"/>
        </w:rPr>
        <w:t xml:space="preserve">    9、“选科指导”、“填报志愿”的条件与前提</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主题十</w:t>
      </w:r>
      <w:r>
        <w:rPr>
          <w:rFonts w:hint="eastAsia" w:ascii="楷体_GB2312" w:hAnsi="楷体_GB2312" w:eastAsia="楷体_GB2312" w:cs="楷体_GB2312"/>
          <w:sz w:val="28"/>
          <w:szCs w:val="28"/>
          <w:lang w:eastAsia="zh-CN"/>
        </w:rPr>
        <w:t>一</w:t>
      </w:r>
      <w:r>
        <w:rPr>
          <w:rFonts w:hint="eastAsia" w:ascii="楷体_GB2312" w:hAnsi="楷体_GB2312" w:eastAsia="楷体_GB2312" w:cs="楷体_GB2312"/>
          <w:sz w:val="28"/>
          <w:szCs w:val="28"/>
        </w:rPr>
        <w:t xml:space="preserve"> ：实战辅导训练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2人小组，各完成1次组内咨询实战练习</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各完成一份辅导报告</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高考志愿咨询师知识与技能考核</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六、考试评价、认证体系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评价主要符合四个条件：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1、评审专家、与相关导师亲临现场观摩学习过程并给出评价意见。</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2、培训期间写一篇关于高考志愿填报的小论文或随笔</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（不少于三千字）</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3、三个针对学生的高考志愿指导案例（需提交指导日志、学生照片）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证书样本：</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4、完不成作业者，无法领取培训证书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ascii="楷体_GB2312" w:hAnsi="楷体_GB2312" w:eastAsia="楷体_GB2312" w:cs="楷体_GB2312"/>
          <w:sz w:val="28"/>
          <w:szCs w:val="28"/>
        </w:rPr>
      </w:pPr>
    </w:p>
    <w:p>
      <w:pPr>
        <w:spacing w:line="380" w:lineRule="exact"/>
        <w:ind w:firstLine="560" w:firstLineChars="200"/>
        <w:rPr>
          <w:rFonts w:ascii="楷体_GB2312" w:hAnsi="楷体_GB2312" w:eastAsia="楷体_GB2312" w:cs="楷体_GB2312"/>
          <w:sz w:val="28"/>
          <w:szCs w:val="28"/>
        </w:rPr>
      </w:pPr>
    </w:p>
    <w:p>
      <w:pPr>
        <w:spacing w:line="380" w:lineRule="exact"/>
        <w:ind w:firstLine="560" w:firstLineChars="200"/>
        <w:rPr>
          <w:rFonts w:ascii="楷体_GB2312" w:hAnsi="楷体_GB2312" w:eastAsia="楷体_GB2312" w:cs="楷体_GB2312"/>
          <w:sz w:val="28"/>
          <w:szCs w:val="28"/>
        </w:rPr>
      </w:pPr>
    </w:p>
    <w:p>
      <w:pPr>
        <w:spacing w:line="380" w:lineRule="exact"/>
        <w:jc w:val="both"/>
        <w:rPr>
          <w:rFonts w:hint="eastAsia" w:ascii="楷体_GB2312" w:hAnsi="楷体_GB2312" w:eastAsia="楷体_GB2312" w:cs="楷体_GB2312"/>
          <w:b/>
          <w:bCs/>
          <w:sz w:val="28"/>
          <w:szCs w:val="28"/>
        </w:rPr>
      </w:pPr>
    </w:p>
    <w:p>
      <w:pPr>
        <w:spacing w:line="380" w:lineRule="exact"/>
        <w:jc w:val="both"/>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七、专家导师</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李文辉(主持</w:t>
      </w:r>
      <w:r>
        <w:rPr>
          <w:rFonts w:hint="eastAsia" w:ascii="楷体_GB2312" w:hAnsi="楷体_GB2312" w:eastAsia="楷体_GB2312" w:cs="楷体_GB2312"/>
          <w:b/>
          <w:bCs/>
          <w:sz w:val="28"/>
          <w:szCs w:val="28"/>
          <w:lang w:eastAsia="zh-CN"/>
        </w:rPr>
        <w:t>开幕</w:t>
      </w:r>
      <w:r>
        <w:rPr>
          <w:rFonts w:hint="eastAsia" w:ascii="楷体_GB2312" w:hAnsi="楷体_GB2312" w:eastAsia="楷体_GB2312" w:cs="楷体_GB2312"/>
          <w:b/>
          <w:bCs/>
          <w:sz w:val="28"/>
          <w:szCs w:val="28"/>
        </w:rPr>
        <w:t>)</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中国智慧工程研究会生涯规划教育研究课题组负责人</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中国学校生涯规划教育网总编</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中国首届高中生涯规划教育研讨会活动策划者</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李文辉是中国第一个将《职来职往》、《创业英雄会》、《非你莫属》、《赢在中国》等职业类、创业类节目带入高中课堂的人；第一个要求生涯教师要关注社会发展、国家外交、科技发明、企业发展、国家发展规划的人。</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b/>
          <w:bCs/>
          <w:sz w:val="28"/>
          <w:szCs w:val="28"/>
        </w:rPr>
        <w:t>刘崇利（授课导师）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新浪教育高考志愿专家团成员</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烟台第一高考志愿填报平台首席高考志愿咨询专家</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多年从事高考志愿填报咨询工作，对中国高校专业设置、平行志愿录取政策、自主招生、特殊招生、提前批次录取有丰富经验。并善于利用高考大数据进行分析高考规律和专业就业情况分析，丰富的教育规划经验能帮助考生进行合理的教育与生涯定位，善于和学生家长沟通，擅长将高考志愿选择与未来职业发展做有效连接，为考生提供个性化的志愿填报方案。使其均被理想院校录取，辅导过的很多学生已经成功创业！ </w:t>
      </w:r>
    </w:p>
    <w:p>
      <w:pPr>
        <w:spacing w:line="380" w:lineRule="exact"/>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郭建民</w:t>
      </w:r>
      <w:r>
        <w:rPr>
          <w:rFonts w:hint="eastAsia" w:ascii="楷体_GB2312" w:hAnsi="楷体_GB2312" w:eastAsia="楷体_GB2312" w:cs="楷体_GB2312"/>
          <w:b/>
          <w:bCs/>
          <w:sz w:val="28"/>
          <w:szCs w:val="28"/>
        </w:rPr>
        <w:t>（授课导师）</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哈师大附中特级教师，享受政府特殊津贴专家，东北师大历史系特聘教授，心理系客座教师，青少年生涯教育研究中心研究员，《大学指南》、《高校招生》等杂志志愿指导专家、青少年人生规划专家，先后四次一人担任两个高中班主任，带出三名高考状元，所带统招班学生位列省高考1、3、4名，所带基础较差分校自费班学生高考中位列全年级1、2、4、5、6名，并有4人考入北大，曾先后到河北衡水中学、西北工大附中、东北师大附中、湖南师大附中等近百所名校讲学，从生涯规划角度指导学生高考志愿，曾任教育部阳光高考平台志愿指导专家、</w:t>
      </w:r>
      <w:r>
        <w:rPr>
          <w:rFonts w:hint="eastAsia" w:ascii="楷体_GB2312" w:hAnsi="楷体_GB2312" w:eastAsia="楷体_GB2312" w:cs="楷体_GB2312"/>
          <w:sz w:val="28"/>
          <w:szCs w:val="28"/>
          <w:lang w:eastAsia="zh-CN"/>
        </w:rPr>
        <w:t>清华大学、</w:t>
      </w:r>
      <w:r>
        <w:rPr>
          <w:rFonts w:hint="eastAsia" w:ascii="楷体_GB2312" w:hAnsi="楷体_GB2312" w:eastAsia="楷体_GB2312" w:cs="楷体_GB2312"/>
          <w:sz w:val="28"/>
          <w:szCs w:val="28"/>
        </w:rPr>
        <w:t>北</w:t>
      </w:r>
      <w:r>
        <w:rPr>
          <w:rFonts w:hint="eastAsia" w:ascii="楷体_GB2312" w:hAnsi="楷体_GB2312" w:eastAsia="楷体_GB2312" w:cs="楷体_GB2312"/>
          <w:sz w:val="28"/>
          <w:szCs w:val="28"/>
          <w:lang w:eastAsia="zh-CN"/>
        </w:rPr>
        <w:t>京</w:t>
      </w:r>
      <w:r>
        <w:rPr>
          <w:rFonts w:hint="eastAsia" w:ascii="楷体_GB2312" w:hAnsi="楷体_GB2312" w:eastAsia="楷体_GB2312" w:cs="楷体_GB2312"/>
          <w:sz w:val="28"/>
          <w:szCs w:val="28"/>
        </w:rPr>
        <w:t>大</w:t>
      </w:r>
      <w:r>
        <w:rPr>
          <w:rFonts w:hint="eastAsia" w:ascii="楷体_GB2312" w:hAnsi="楷体_GB2312" w:eastAsia="楷体_GB2312" w:cs="楷体_GB2312"/>
          <w:sz w:val="28"/>
          <w:szCs w:val="28"/>
          <w:lang w:eastAsia="zh-CN"/>
        </w:rPr>
        <w:t>学</w:t>
      </w:r>
      <w:r>
        <w:rPr>
          <w:rFonts w:hint="eastAsia" w:ascii="楷体_GB2312" w:hAnsi="楷体_GB2312" w:eastAsia="楷体_GB2312" w:cs="楷体_GB2312"/>
          <w:sz w:val="28"/>
          <w:szCs w:val="28"/>
        </w:rPr>
        <w:t>、南开</w:t>
      </w:r>
      <w:r>
        <w:rPr>
          <w:rFonts w:hint="eastAsia" w:ascii="楷体_GB2312" w:hAnsi="楷体_GB2312" w:eastAsia="楷体_GB2312" w:cs="楷体_GB2312"/>
          <w:sz w:val="28"/>
          <w:szCs w:val="28"/>
          <w:lang w:eastAsia="zh-CN"/>
        </w:rPr>
        <w:t>大学</w:t>
      </w:r>
      <w:r>
        <w:rPr>
          <w:rFonts w:hint="eastAsia" w:ascii="楷体_GB2312" w:hAnsi="楷体_GB2312" w:eastAsia="楷体_GB2312" w:cs="楷体_GB2312"/>
          <w:sz w:val="28"/>
          <w:szCs w:val="28"/>
        </w:rPr>
        <w:t>、吉</w:t>
      </w:r>
      <w:r>
        <w:rPr>
          <w:rFonts w:hint="eastAsia" w:ascii="楷体_GB2312" w:hAnsi="楷体_GB2312" w:eastAsia="楷体_GB2312" w:cs="楷体_GB2312"/>
          <w:sz w:val="28"/>
          <w:szCs w:val="28"/>
          <w:lang w:eastAsia="zh-CN"/>
        </w:rPr>
        <w:t>林</w:t>
      </w:r>
      <w:r>
        <w:rPr>
          <w:rFonts w:hint="eastAsia" w:ascii="楷体_GB2312" w:hAnsi="楷体_GB2312" w:eastAsia="楷体_GB2312" w:cs="楷体_GB2312"/>
          <w:sz w:val="28"/>
          <w:szCs w:val="28"/>
        </w:rPr>
        <w:t>大</w:t>
      </w:r>
      <w:r>
        <w:rPr>
          <w:rFonts w:hint="eastAsia" w:ascii="楷体_GB2312" w:hAnsi="楷体_GB2312" w:eastAsia="楷体_GB2312" w:cs="楷体_GB2312"/>
          <w:sz w:val="28"/>
          <w:szCs w:val="28"/>
          <w:lang w:eastAsia="zh-CN"/>
        </w:rPr>
        <w:t>学</w:t>
      </w:r>
      <w:r>
        <w:rPr>
          <w:rFonts w:hint="eastAsia" w:ascii="楷体_GB2312" w:hAnsi="楷体_GB2312" w:eastAsia="楷体_GB2312" w:cs="楷体_GB2312"/>
          <w:sz w:val="28"/>
          <w:szCs w:val="28"/>
        </w:rPr>
        <w:t>等校招生顾问</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田 园（授课导师）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烟台日报传媒集团高考志愿填报首席咨询师、全球职业规划师、国家创业指导实训师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具有10多年高校招生就业、学生指导、高考填报实践经验，成功举办全国中学生涯规划课程设计工作坊，培训重点中学生涯师资500余人次，指导填报高考志愿逾千人。著有《让生命绽放——初中生涯规划指导》《做自己的梦想实现家——高中生涯规划指导》两本书籍，列为江西省教育厅中学生涯课程指定教材。</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b/>
          <w:bCs/>
          <w:sz w:val="28"/>
          <w:szCs w:val="28"/>
        </w:rPr>
        <w:t>徐秀琴（授课导师）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烟台日报传媒集团高考志愿填报首席讲师/咨询师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国际SEL认证情商训练师、国家认证高级注意力训练师、卡内基演讲口才训练资质</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11年外企人力资源管理者，曾就职于世界500强公司负责人才招聘，现专注于打造未来生存和发展技能为核心目标的教育领域，以多年职场工作经历为基础，与学校教育相辅相成，对大学院校、专业和未来职业的关系有独特的见解，对未来就业环境的行业企业和职业有趋势性把握，提供面向未来职业世界的生涯规划解决方案。从2012年开始从事青少年的潜能测试与学业规划，已为全国多家中学提供生涯规划指导。</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八、报名事项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1.填写《报名登记表》；提交身份证复印件1份，2寸彩色免冠照片2张(需电子版)。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2.学习周期：整个学习包括：提前一周预习——4天集训——训后两周评价考试——发证。总课时约80课时。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3.培训费用：全国统一执行价3000元，食宿自理（每人每天300左右），会务组统一安排。为了更好的学习效果，学员须与课程顾问联系，提前付费预订课程。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4.组委会联系方式：</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联系人：</w:t>
      </w:r>
      <w:r>
        <w:rPr>
          <w:rFonts w:hint="eastAsia" w:ascii="楷体_GB2312" w:hAnsi="楷体_GB2312" w:eastAsia="楷体_GB2312" w:cs="楷体_GB2312"/>
          <w:sz w:val="28"/>
          <w:szCs w:val="28"/>
          <w:lang w:eastAsia="zh-CN"/>
        </w:rPr>
        <w:t>孙</w:t>
      </w:r>
      <w:r>
        <w:rPr>
          <w:rFonts w:hint="eastAsia" w:ascii="楷体_GB2312" w:hAnsi="楷体_GB2312" w:eastAsia="楷体_GB2312" w:cs="楷体_GB2312"/>
          <w:sz w:val="28"/>
          <w:szCs w:val="28"/>
        </w:rPr>
        <w:t>老师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电  话：</w:t>
      </w:r>
      <w:r>
        <w:rPr>
          <w:rFonts w:hint="eastAsia" w:ascii="楷体_GB2312" w:hAnsi="楷体_GB2312" w:eastAsia="楷体_GB2312" w:cs="楷体_GB2312"/>
          <w:sz w:val="28"/>
          <w:szCs w:val="28"/>
          <w:lang w:val="en-US" w:eastAsia="zh-CN"/>
        </w:rPr>
        <w:t>010-</w:t>
      </w:r>
      <w:r>
        <w:rPr>
          <w:rFonts w:hint="eastAsia" w:ascii="楷体_GB2312" w:hAnsi="楷体_GB2312" w:eastAsia="楷体_GB2312" w:cs="楷体_GB2312"/>
          <w:sz w:val="28"/>
          <w:szCs w:val="28"/>
        </w:rPr>
        <w:t>61354811   15</w:t>
      </w:r>
      <w:r>
        <w:rPr>
          <w:rFonts w:hint="eastAsia" w:ascii="楷体_GB2312" w:hAnsi="楷体_GB2312" w:eastAsia="楷体_GB2312" w:cs="楷体_GB2312"/>
          <w:sz w:val="28"/>
          <w:szCs w:val="28"/>
          <w:lang w:val="en-US" w:eastAsia="zh-CN"/>
        </w:rPr>
        <w:t>001343019</w:t>
      </w:r>
      <w:r>
        <w:rPr>
          <w:rFonts w:hint="eastAsia" w:ascii="楷体_GB2312" w:hAnsi="楷体_GB2312" w:eastAsia="楷体_GB2312" w:cs="楷体_GB2312"/>
          <w:sz w:val="28"/>
          <w:szCs w:val="28"/>
        </w:rPr>
        <w:t xml:space="preserve">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邮  箱：</w:t>
      </w:r>
      <w:r>
        <w:rPr>
          <w:rFonts w:hint="eastAsia" w:ascii="楷体_GB2312" w:hAnsi="楷体_GB2312" w:eastAsia="楷体_GB2312" w:cs="楷体_GB2312"/>
          <w:sz w:val="28"/>
          <w:szCs w:val="28"/>
          <w:lang w:val="en-US" w:eastAsia="zh-CN"/>
        </w:rPr>
        <w:fldChar w:fldCharType="begin"/>
      </w:r>
      <w:r>
        <w:rPr>
          <w:rFonts w:hint="eastAsia" w:ascii="楷体_GB2312" w:hAnsi="楷体_GB2312" w:eastAsia="楷体_GB2312" w:cs="楷体_GB2312"/>
          <w:sz w:val="28"/>
          <w:szCs w:val="28"/>
          <w:lang w:val="en-US" w:eastAsia="zh-CN"/>
        </w:rPr>
        <w:instrText xml:space="preserve"> HYPERLINK "mailto:zdktzsmm@126.com" </w:instrText>
      </w:r>
      <w:r>
        <w:rPr>
          <w:rFonts w:hint="eastAsia" w:ascii="楷体_GB2312" w:hAnsi="楷体_GB2312" w:eastAsia="楷体_GB2312" w:cs="楷体_GB2312"/>
          <w:sz w:val="28"/>
          <w:szCs w:val="28"/>
          <w:lang w:val="en-US" w:eastAsia="zh-CN"/>
        </w:rPr>
        <w:fldChar w:fldCharType="separate"/>
      </w:r>
      <w:r>
        <w:rPr>
          <w:rStyle w:val="10"/>
          <w:rFonts w:hint="eastAsia" w:ascii="楷体_GB2312" w:hAnsi="楷体_GB2312" w:eastAsia="楷体_GB2312" w:cs="楷体_GB2312"/>
          <w:sz w:val="28"/>
          <w:szCs w:val="28"/>
          <w:lang w:val="en-US" w:eastAsia="zh-CN"/>
        </w:rPr>
        <w:t>zdktzsmm</w:t>
      </w:r>
      <w:r>
        <w:rPr>
          <w:rStyle w:val="10"/>
          <w:rFonts w:hint="eastAsia" w:ascii="楷体_GB2312" w:hAnsi="楷体_GB2312" w:eastAsia="楷体_GB2312" w:cs="楷体_GB2312"/>
          <w:sz w:val="28"/>
          <w:szCs w:val="28"/>
        </w:rPr>
        <w:t>@126.com</w:t>
      </w:r>
      <w:r>
        <w:rPr>
          <w:rFonts w:hint="eastAsia" w:ascii="楷体_GB2312" w:hAnsi="楷体_GB2312" w:eastAsia="楷体_GB2312" w:cs="楷体_GB2312"/>
          <w:sz w:val="28"/>
          <w:szCs w:val="28"/>
          <w:lang w:val="en-US" w:eastAsia="zh-CN"/>
        </w:rPr>
        <w:fldChar w:fldCharType="end"/>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val="en-US" w:eastAsia="zh-CN"/>
        </w:rPr>
        <w:fldChar w:fldCharType="begin"/>
      </w:r>
      <w:r>
        <w:rPr>
          <w:rFonts w:hint="eastAsia" w:ascii="楷体_GB2312" w:hAnsi="楷体_GB2312" w:eastAsia="楷体_GB2312" w:cs="楷体_GB2312"/>
          <w:sz w:val="28"/>
          <w:szCs w:val="28"/>
          <w:lang w:val="en-US" w:eastAsia="zh-CN"/>
        </w:rPr>
        <w:instrText xml:space="preserve"> HYPERLINK "mailto:377830961@qq.com" </w:instrText>
      </w:r>
      <w:r>
        <w:rPr>
          <w:rFonts w:hint="eastAsia" w:ascii="楷体_GB2312" w:hAnsi="楷体_GB2312" w:eastAsia="楷体_GB2312" w:cs="楷体_GB2312"/>
          <w:sz w:val="28"/>
          <w:szCs w:val="28"/>
          <w:lang w:val="en-US" w:eastAsia="zh-CN"/>
        </w:rPr>
        <w:fldChar w:fldCharType="separate"/>
      </w:r>
      <w:r>
        <w:rPr>
          <w:rStyle w:val="10"/>
          <w:rFonts w:hint="eastAsia" w:ascii="楷体_GB2312" w:hAnsi="楷体_GB2312" w:eastAsia="楷体_GB2312" w:cs="楷体_GB2312"/>
          <w:sz w:val="28"/>
          <w:szCs w:val="28"/>
          <w:lang w:val="en-US" w:eastAsia="zh-CN"/>
        </w:rPr>
        <w:t>377830961@qq.com</w:t>
      </w:r>
      <w:r>
        <w:rPr>
          <w:rFonts w:hint="eastAsia" w:ascii="楷体_GB2312" w:hAnsi="楷体_GB2312" w:eastAsia="楷体_GB2312" w:cs="楷体_GB2312"/>
          <w:sz w:val="28"/>
          <w:szCs w:val="28"/>
          <w:lang w:val="en-US" w:eastAsia="zh-CN"/>
        </w:rPr>
        <w:fldChar w:fldCharType="end"/>
      </w:r>
      <w:r>
        <w:rPr>
          <w:rFonts w:hint="eastAsia" w:ascii="楷体_GB2312" w:hAnsi="楷体_GB2312" w:eastAsia="楷体_GB2312" w:cs="楷体_GB2312"/>
          <w:sz w:val="28"/>
          <w:szCs w:val="28"/>
          <w:lang w:val="en-US" w:eastAsia="zh-CN"/>
        </w:rPr>
        <w:t xml:space="preserve">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网  址：http://www.zgxxsygh.com</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w:t>
      </w:r>
    </w:p>
    <w:p>
      <w:pPr>
        <w:spacing w:line="38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附件一：报名表</w:t>
      </w:r>
    </w:p>
    <w:p>
      <w:pPr>
        <w:spacing w:line="380" w:lineRule="exact"/>
        <w:ind w:firstLine="560" w:firstLineChars="200"/>
        <w:rPr>
          <w:rFonts w:ascii="楷体_GB2312" w:hAnsi="楷体_GB2312" w:eastAsia="楷体_GB2312" w:cs="楷体_GB2312"/>
          <w:sz w:val="28"/>
          <w:szCs w:val="28"/>
        </w:rPr>
      </w:pPr>
    </w:p>
    <w:p>
      <w:pPr>
        <w:widowControl/>
        <w:jc w:val="left"/>
      </w:pP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中国人生科</w:t>
      </w:r>
      <w:r>
        <w:drawing>
          <wp:anchor distT="0" distB="0" distL="114300" distR="114300" simplePos="0" relativeHeight="251659264" behindDoc="1" locked="0" layoutInCell="1" allowOverlap="1">
            <wp:simplePos x="0" y="0"/>
            <wp:positionH relativeFrom="column">
              <wp:posOffset>3055620</wp:posOffset>
            </wp:positionH>
            <wp:positionV relativeFrom="paragraph">
              <wp:posOffset>6769735</wp:posOffset>
            </wp:positionV>
            <wp:extent cx="1344930" cy="1344930"/>
            <wp:effectExtent l="0" t="0" r="7620" b="7620"/>
            <wp:wrapNone/>
            <wp:docPr id="2" name="图片 2" descr="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副本"/>
                    <pic:cNvPicPr>
                      <a:picLocks noChangeAspect="1"/>
                    </pic:cNvPicPr>
                  </pic:nvPicPr>
                  <pic:blipFill>
                    <a:blip r:embed="rId4" cstate="print"/>
                    <a:stretch>
                      <a:fillRect/>
                    </a:stretch>
                  </pic:blipFill>
                  <pic:spPr>
                    <a:xfrm>
                      <a:off x="0" y="0"/>
                      <a:ext cx="1344930" cy="1344930"/>
                    </a:xfrm>
                    <a:prstGeom prst="rect">
                      <a:avLst/>
                    </a:prstGeom>
                    <a:noFill/>
                    <a:ln w="9525">
                      <a:noFill/>
                    </a:ln>
                  </pic:spPr>
                </pic:pic>
              </a:graphicData>
            </a:graphic>
          </wp:anchor>
        </w:drawing>
      </w:r>
      <w:r>
        <w:rPr>
          <w:rFonts w:hint="eastAsia" w:ascii="楷体_GB2312" w:hAnsi="楷体_GB2312" w:eastAsia="楷体_GB2312" w:cs="楷体_GB2312"/>
          <w:sz w:val="28"/>
          <w:szCs w:val="28"/>
        </w:rPr>
        <w:t xml:space="preserve">学学会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 xml:space="preserve">学生发展指导专业委员会 </w:t>
      </w:r>
    </w:p>
    <w:p>
      <w:pPr>
        <w:spacing w:line="380" w:lineRule="exact"/>
        <w:ind w:firstLine="560" w:firstLineChars="200"/>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 xml:space="preserve"> 2017.2.9</w:t>
      </w:r>
      <w:bookmarkStart w:id="0" w:name="_GoBack"/>
      <w:bookmarkEnd w:id="0"/>
    </w:p>
    <w:p>
      <w:r>
        <w:rPr>
          <w:rFonts w:hint="eastAsia"/>
          <w:sz w:val="32"/>
          <w:szCs w:val="32"/>
          <w:lang w:eastAsia="zh-CN"/>
        </w:rPr>
        <w:t>附件一：</w:t>
      </w:r>
    </w:p>
    <w:p>
      <w:pPr>
        <w:spacing w:line="380" w:lineRule="exact"/>
        <w:jc w:val="center"/>
        <w:rPr>
          <w:rFonts w:hint="eastAsia" w:ascii="黑体" w:hAnsi="黑体" w:eastAsia="黑体" w:cs="黑体"/>
          <w:b/>
          <w:color w:val="000000"/>
          <w:kern w:val="0"/>
          <w:sz w:val="28"/>
          <w:szCs w:val="28"/>
        </w:rPr>
      </w:pPr>
      <w:r>
        <w:rPr>
          <w:rFonts w:hint="eastAsia"/>
          <w:b/>
          <w:bCs/>
          <w:sz w:val="32"/>
          <w:szCs w:val="32"/>
          <w:lang w:val="en-US" w:eastAsia="zh-CN"/>
        </w:rPr>
        <w:t>2017年度</w:t>
      </w:r>
      <w:r>
        <w:rPr>
          <w:rFonts w:hint="eastAsia"/>
          <w:b/>
          <w:bCs/>
          <w:sz w:val="32"/>
          <w:szCs w:val="32"/>
        </w:rPr>
        <w:t>全国</w:t>
      </w:r>
      <w:r>
        <w:rPr>
          <w:rFonts w:hint="eastAsia"/>
          <w:b/>
          <w:bCs/>
          <w:sz w:val="32"/>
          <w:szCs w:val="32"/>
          <w:lang w:eastAsia="zh-CN"/>
        </w:rPr>
        <w:t>高中</w:t>
      </w:r>
      <w:r>
        <w:rPr>
          <w:rFonts w:hint="eastAsia"/>
          <w:b/>
          <w:bCs/>
          <w:sz w:val="32"/>
          <w:szCs w:val="32"/>
        </w:rPr>
        <w:t>“</w:t>
      </w:r>
      <w:r>
        <w:rPr>
          <w:rFonts w:hint="eastAsia"/>
          <w:b/>
          <w:bCs/>
          <w:sz w:val="32"/>
          <w:szCs w:val="32"/>
          <w:lang w:eastAsia="zh-CN"/>
        </w:rPr>
        <w:t>高考志愿咨询师</w:t>
      </w:r>
      <w:r>
        <w:rPr>
          <w:rFonts w:hint="eastAsia"/>
          <w:b/>
          <w:bCs/>
          <w:sz w:val="32"/>
          <w:szCs w:val="32"/>
        </w:rPr>
        <w:t>”岗位能力培训</w:t>
      </w:r>
      <w:r>
        <w:rPr>
          <w:rFonts w:hint="eastAsia" w:ascii="宋体" w:hAnsi="宋体" w:eastAsia="宋体" w:cs="宋体"/>
          <w:b/>
          <w:bCs/>
          <w:sz w:val="30"/>
          <w:szCs w:val="30"/>
        </w:rPr>
        <w:t>报名表</w:t>
      </w:r>
    </w:p>
    <w:tbl>
      <w:tblPr>
        <w:tblStyle w:val="12"/>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rPr>
            </w:pPr>
            <w:r>
              <w:rPr>
                <w:rFonts w:hint="eastAsia" w:ascii="仿宋_GB2312" w:hAnsi="仿宋_GB2312" w:eastAsia="仿宋_GB2312" w:cs="仿宋_GB2312"/>
                <w:sz w:val="24"/>
              </w:rPr>
              <w:t>单位</w:t>
            </w:r>
          </w:p>
        </w:tc>
        <w:tc>
          <w:tcPr>
            <w:tcW w:w="4390" w:type="dxa"/>
            <w:gridSpan w:val="4"/>
            <w:vAlign w:val="center"/>
          </w:tcPr>
          <w:p>
            <w:pPr>
              <w:jc w:val="center"/>
              <w:rPr>
                <w:rFonts w:hint="eastAsia"/>
                <w:sz w:val="24"/>
              </w:rPr>
            </w:pPr>
          </w:p>
        </w:tc>
        <w:tc>
          <w:tcPr>
            <w:tcW w:w="1620" w:type="dxa"/>
            <w:vAlign w:val="center"/>
          </w:tcPr>
          <w:p>
            <w:pPr>
              <w:jc w:val="center"/>
              <w:rPr>
                <w:rFonts w:hint="eastAsia"/>
                <w:sz w:val="24"/>
              </w:rPr>
            </w:pPr>
            <w:r>
              <w:rPr>
                <w:rFonts w:hint="eastAsia" w:ascii="仿宋_GB2312" w:hAnsi="仿宋_GB2312" w:eastAsia="仿宋_GB2312" w:cs="仿宋_GB2312"/>
                <w:sz w:val="24"/>
              </w:rPr>
              <w:t>电话</w:t>
            </w: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rPr>
            </w:pPr>
            <w:r>
              <w:rPr>
                <w:rFonts w:hint="eastAsia" w:ascii="仿宋_GB2312" w:hAnsi="仿宋_GB2312" w:eastAsia="仿宋_GB2312" w:cs="仿宋_GB2312"/>
                <w:sz w:val="24"/>
              </w:rPr>
              <w:t>地址</w:t>
            </w:r>
          </w:p>
        </w:tc>
        <w:tc>
          <w:tcPr>
            <w:tcW w:w="4390" w:type="dxa"/>
            <w:gridSpan w:val="4"/>
            <w:vAlign w:val="center"/>
          </w:tcPr>
          <w:p>
            <w:pPr>
              <w:jc w:val="center"/>
              <w:rPr>
                <w:rFonts w:hint="eastAsia"/>
                <w:sz w:val="24"/>
              </w:rPr>
            </w:pPr>
          </w:p>
        </w:tc>
        <w:tc>
          <w:tcPr>
            <w:tcW w:w="1620" w:type="dxa"/>
            <w:vAlign w:val="center"/>
          </w:tcPr>
          <w:p>
            <w:pPr>
              <w:jc w:val="center"/>
              <w:rPr>
                <w:rFonts w:hint="eastAsia"/>
                <w:sz w:val="24"/>
              </w:rPr>
            </w:pPr>
            <w:r>
              <w:rPr>
                <w:rFonts w:hint="eastAsia" w:ascii="仿宋_GB2312" w:hAnsi="仿宋_GB2312" w:eastAsia="仿宋_GB2312" w:cs="仿宋_GB2312"/>
                <w:sz w:val="24"/>
              </w:rPr>
              <w:t>邮编</w:t>
            </w: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rFonts w:hint="eastAsia"/>
                <w:sz w:val="24"/>
              </w:rPr>
            </w:pPr>
            <w:r>
              <w:rPr>
                <w:rFonts w:hint="eastAsia"/>
                <w:sz w:val="24"/>
              </w:rPr>
              <w:t>参</w:t>
            </w:r>
          </w:p>
          <w:p>
            <w:pPr>
              <w:jc w:val="center"/>
              <w:rPr>
                <w:rFonts w:hint="eastAsia"/>
                <w:sz w:val="24"/>
              </w:rPr>
            </w:pPr>
            <w:r>
              <w:rPr>
                <w:rFonts w:hint="eastAsia"/>
                <w:sz w:val="24"/>
              </w:rPr>
              <w:t>加</w:t>
            </w:r>
          </w:p>
          <w:p>
            <w:pPr>
              <w:jc w:val="center"/>
              <w:rPr>
                <w:rFonts w:hint="eastAsia"/>
                <w:sz w:val="24"/>
              </w:rPr>
            </w:pPr>
            <w:r>
              <w:rPr>
                <w:rFonts w:hint="eastAsia"/>
                <w:sz w:val="24"/>
              </w:rPr>
              <w:t>者</w:t>
            </w:r>
          </w:p>
        </w:tc>
        <w:tc>
          <w:tcPr>
            <w:tcW w:w="1225" w:type="dxa"/>
            <w:vAlign w:val="center"/>
          </w:tcPr>
          <w:p>
            <w:pPr>
              <w:jc w:val="center"/>
              <w:rPr>
                <w:rFonts w:hint="eastAsia"/>
                <w:sz w:val="24"/>
              </w:rPr>
            </w:pPr>
            <w:r>
              <w:rPr>
                <w:rFonts w:hint="eastAsia" w:ascii="仿宋_GB2312" w:hAnsi="仿宋_GB2312" w:eastAsia="仿宋_GB2312" w:cs="仿宋_GB2312"/>
                <w:sz w:val="24"/>
              </w:rPr>
              <w:t>姓名</w:t>
            </w:r>
          </w:p>
        </w:tc>
        <w:tc>
          <w:tcPr>
            <w:tcW w:w="530" w:type="dxa"/>
            <w:vAlign w:val="center"/>
          </w:tcPr>
          <w:p>
            <w:pPr>
              <w:jc w:val="center"/>
              <w:rPr>
                <w:rFonts w:hint="eastAsia"/>
                <w:sz w:val="24"/>
              </w:rPr>
            </w:pPr>
            <w:r>
              <w:rPr>
                <w:rFonts w:hint="eastAsia" w:ascii="仿宋_GB2312" w:hAnsi="仿宋_GB2312" w:eastAsia="仿宋_GB2312" w:cs="仿宋_GB2312"/>
                <w:sz w:val="24"/>
              </w:rPr>
              <w:t>性别</w:t>
            </w:r>
          </w:p>
        </w:tc>
        <w:tc>
          <w:tcPr>
            <w:tcW w:w="885" w:type="dxa"/>
            <w:vAlign w:val="center"/>
          </w:tcPr>
          <w:p>
            <w:pPr>
              <w:jc w:val="center"/>
              <w:rPr>
                <w:rFonts w:hint="eastAsia"/>
                <w:sz w:val="24"/>
              </w:rPr>
            </w:pPr>
            <w:r>
              <w:rPr>
                <w:rFonts w:hint="eastAsia" w:ascii="仿宋_GB2312" w:hAnsi="仿宋_GB2312" w:eastAsia="仿宋_GB2312" w:cs="仿宋_GB2312"/>
                <w:sz w:val="24"/>
              </w:rPr>
              <w:t>职务</w:t>
            </w:r>
          </w:p>
        </w:tc>
        <w:tc>
          <w:tcPr>
            <w:tcW w:w="1750" w:type="dxa"/>
            <w:vAlign w:val="center"/>
          </w:tcPr>
          <w:p>
            <w:pPr>
              <w:jc w:val="center"/>
              <w:rPr>
                <w:rFonts w:hint="eastAsia"/>
                <w:sz w:val="24"/>
              </w:rPr>
            </w:pPr>
            <w:r>
              <w:rPr>
                <w:rFonts w:hint="eastAsia" w:ascii="仿宋_GB2312" w:hAnsi="仿宋_GB2312" w:eastAsia="仿宋_GB2312" w:cs="仿宋_GB2312"/>
                <w:sz w:val="24"/>
              </w:rPr>
              <w:t>电话</w:t>
            </w:r>
          </w:p>
        </w:tc>
        <w:tc>
          <w:tcPr>
            <w:tcW w:w="1620" w:type="dxa"/>
            <w:vAlign w:val="center"/>
          </w:tcPr>
          <w:p>
            <w:pPr>
              <w:jc w:val="center"/>
              <w:rPr>
                <w:rFonts w:hint="eastAsia"/>
                <w:sz w:val="24"/>
              </w:rPr>
            </w:pPr>
            <w:r>
              <w:rPr>
                <w:rFonts w:hint="eastAsia" w:ascii="仿宋_GB2312" w:hAnsi="仿宋_GB2312" w:eastAsia="仿宋_GB2312" w:cs="仿宋_GB2312"/>
                <w:sz w:val="24"/>
              </w:rPr>
              <w:t>手机</w:t>
            </w:r>
          </w:p>
        </w:tc>
        <w:tc>
          <w:tcPr>
            <w:tcW w:w="675" w:type="dxa"/>
            <w:vAlign w:val="center"/>
          </w:tcPr>
          <w:p>
            <w:pPr>
              <w:jc w:val="center"/>
              <w:rPr>
                <w:rFonts w:hint="eastAsia"/>
                <w:sz w:val="24"/>
              </w:rPr>
            </w:pPr>
            <w:r>
              <w:rPr>
                <w:rFonts w:hint="eastAsia"/>
                <w:sz w:val="24"/>
              </w:rPr>
              <w:t>QQ</w:t>
            </w:r>
          </w:p>
        </w:tc>
        <w:tc>
          <w:tcPr>
            <w:tcW w:w="20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rPr>
            </w:pP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675" w:type="dxa"/>
            <w:vAlign w:val="center"/>
          </w:tcPr>
          <w:p>
            <w:pPr>
              <w:jc w:val="center"/>
              <w:rPr>
                <w:rFonts w:hint="eastAsia"/>
                <w:sz w:val="24"/>
              </w:rPr>
            </w:pPr>
            <w:r>
              <w:rPr>
                <w:rFonts w:hint="eastAsia" w:ascii="仿宋_GB2312" w:hAnsi="仿宋_GB2312" w:eastAsia="仿宋_GB2312" w:cs="仿宋_GB2312"/>
                <w:sz w:val="24"/>
              </w:rPr>
              <w:t>邮箱</w:t>
            </w:r>
          </w:p>
        </w:tc>
        <w:tc>
          <w:tcPr>
            <w:tcW w:w="203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sz w:val="24"/>
              </w:rPr>
            </w:pPr>
            <w:r>
              <w:rPr>
                <w:rFonts w:hint="eastAsia"/>
                <w:sz w:val="24"/>
              </w:rPr>
              <w:t>参</w:t>
            </w:r>
          </w:p>
          <w:p>
            <w:pPr>
              <w:jc w:val="center"/>
              <w:rPr>
                <w:rFonts w:hint="eastAsia"/>
                <w:sz w:val="24"/>
              </w:rPr>
            </w:pPr>
            <w:r>
              <w:rPr>
                <w:rFonts w:hint="eastAsia"/>
                <w:sz w:val="24"/>
              </w:rPr>
              <w:t>加</w:t>
            </w:r>
          </w:p>
          <w:p>
            <w:pPr>
              <w:jc w:val="center"/>
              <w:rPr>
                <w:rFonts w:hint="eastAsia"/>
                <w:sz w:val="24"/>
              </w:rPr>
            </w:pPr>
            <w:r>
              <w:rPr>
                <w:rFonts w:hint="eastAsia"/>
                <w:sz w:val="24"/>
              </w:rPr>
              <w:t>者</w:t>
            </w: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rPr>
            </w:pP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sz w:val="24"/>
              </w:rPr>
            </w:pPr>
            <w:r>
              <w:rPr>
                <w:rFonts w:hint="eastAsia"/>
                <w:sz w:val="24"/>
              </w:rPr>
              <w:t>参</w:t>
            </w:r>
          </w:p>
          <w:p>
            <w:pPr>
              <w:jc w:val="center"/>
              <w:rPr>
                <w:rFonts w:hint="eastAsia"/>
                <w:sz w:val="24"/>
              </w:rPr>
            </w:pPr>
            <w:r>
              <w:rPr>
                <w:rFonts w:hint="eastAsia"/>
                <w:sz w:val="24"/>
              </w:rPr>
              <w:t>加</w:t>
            </w:r>
          </w:p>
          <w:p>
            <w:pPr>
              <w:jc w:val="center"/>
              <w:rPr>
                <w:rFonts w:hint="eastAsia"/>
                <w:sz w:val="24"/>
              </w:rPr>
            </w:pPr>
            <w:r>
              <w:rPr>
                <w:rFonts w:hint="eastAsia"/>
                <w:sz w:val="24"/>
              </w:rPr>
              <w:t>者</w:t>
            </w: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rPr>
            </w:pP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sz w:val="24"/>
              </w:rPr>
            </w:pPr>
            <w:r>
              <w:rPr>
                <w:rFonts w:hint="eastAsia"/>
                <w:sz w:val="24"/>
              </w:rPr>
              <w:t>参</w:t>
            </w:r>
          </w:p>
          <w:p>
            <w:pPr>
              <w:jc w:val="center"/>
              <w:rPr>
                <w:rFonts w:hint="eastAsia"/>
                <w:sz w:val="24"/>
              </w:rPr>
            </w:pPr>
            <w:r>
              <w:rPr>
                <w:rFonts w:hint="eastAsia"/>
                <w:sz w:val="24"/>
              </w:rPr>
              <w:t>加</w:t>
            </w:r>
          </w:p>
          <w:p>
            <w:pPr>
              <w:jc w:val="center"/>
              <w:rPr>
                <w:rFonts w:hint="eastAsia"/>
                <w:sz w:val="24"/>
              </w:rPr>
            </w:pPr>
            <w:r>
              <w:rPr>
                <w:rFonts w:hint="eastAsia"/>
                <w:sz w:val="24"/>
              </w:rPr>
              <w:t>者</w:t>
            </w: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rPr>
            </w:pP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sz w:val="24"/>
              </w:rPr>
            </w:pPr>
            <w:r>
              <w:rPr>
                <w:rFonts w:hint="eastAsia"/>
                <w:sz w:val="24"/>
              </w:rPr>
              <w:t>参</w:t>
            </w:r>
          </w:p>
          <w:p>
            <w:pPr>
              <w:jc w:val="center"/>
              <w:rPr>
                <w:rFonts w:hint="eastAsia"/>
                <w:sz w:val="24"/>
              </w:rPr>
            </w:pPr>
            <w:r>
              <w:rPr>
                <w:rFonts w:hint="eastAsia"/>
                <w:sz w:val="24"/>
              </w:rPr>
              <w:t>加</w:t>
            </w:r>
          </w:p>
          <w:p>
            <w:pPr>
              <w:jc w:val="center"/>
              <w:rPr>
                <w:rFonts w:hint="eastAsia"/>
                <w:sz w:val="24"/>
              </w:rPr>
            </w:pPr>
            <w:r>
              <w:rPr>
                <w:rFonts w:hint="eastAsia"/>
                <w:sz w:val="24"/>
              </w:rPr>
              <w:t>者</w:t>
            </w: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rPr>
            </w:pPr>
          </w:p>
        </w:tc>
        <w:tc>
          <w:tcPr>
            <w:tcW w:w="1225" w:type="dxa"/>
            <w:vAlign w:val="center"/>
          </w:tcPr>
          <w:p>
            <w:pPr>
              <w:jc w:val="center"/>
              <w:rPr>
                <w:rFonts w:hint="eastAsia"/>
                <w:sz w:val="24"/>
              </w:rPr>
            </w:pPr>
          </w:p>
        </w:tc>
        <w:tc>
          <w:tcPr>
            <w:tcW w:w="530" w:type="dxa"/>
            <w:vAlign w:val="center"/>
          </w:tcPr>
          <w:p>
            <w:pPr>
              <w:jc w:val="center"/>
              <w:rPr>
                <w:rFonts w:hint="eastAsia"/>
                <w:sz w:val="24"/>
              </w:rPr>
            </w:pPr>
          </w:p>
        </w:tc>
        <w:tc>
          <w:tcPr>
            <w:tcW w:w="885" w:type="dxa"/>
            <w:vAlign w:val="center"/>
          </w:tcPr>
          <w:p>
            <w:pPr>
              <w:jc w:val="center"/>
              <w:rPr>
                <w:rFonts w:hint="eastAsia"/>
                <w:sz w:val="24"/>
              </w:rPr>
            </w:pPr>
          </w:p>
        </w:tc>
        <w:tc>
          <w:tcPr>
            <w:tcW w:w="1750" w:type="dxa"/>
            <w:vAlign w:val="center"/>
          </w:tcPr>
          <w:p>
            <w:pPr>
              <w:jc w:val="center"/>
              <w:rPr>
                <w:rFonts w:hint="eastAsia"/>
                <w:sz w:val="24"/>
              </w:rPr>
            </w:pPr>
          </w:p>
        </w:tc>
        <w:tc>
          <w:tcPr>
            <w:tcW w:w="1620" w:type="dxa"/>
            <w:vAlign w:val="center"/>
          </w:tcPr>
          <w:p>
            <w:pPr>
              <w:jc w:val="center"/>
              <w:rPr>
                <w:rFonts w:hint="eastAsia"/>
                <w:sz w:val="24"/>
              </w:rPr>
            </w:pPr>
          </w:p>
        </w:tc>
        <w:tc>
          <w:tcPr>
            <w:tcW w:w="270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sz w:val="24"/>
              </w:rPr>
            </w:pPr>
            <w:r>
              <w:rPr>
                <w:rFonts w:hint="eastAsia" w:ascii="仿宋_GB2312" w:hAnsi="仿宋_GB2312" w:eastAsia="仿宋_GB2312" w:cs="仿宋_GB2312"/>
                <w:sz w:val="24"/>
              </w:rPr>
              <w:t>汇款方式</w:t>
            </w:r>
          </w:p>
        </w:tc>
        <w:tc>
          <w:tcPr>
            <w:tcW w:w="8715" w:type="dxa"/>
            <w:gridSpan w:val="7"/>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开户银行：中国工商银行北京房山支行良乡分理处</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帐户名称：北京成长智慧教育科技有限公司  </w:t>
            </w:r>
          </w:p>
          <w:p>
            <w:pPr>
              <w:rPr>
                <w:rFonts w:hint="eastAsia"/>
                <w:sz w:val="24"/>
              </w:rPr>
            </w:pPr>
            <w:r>
              <w:rPr>
                <w:rFonts w:hint="eastAsia" w:ascii="仿宋_GB2312" w:hAnsi="仿宋_GB2312" w:eastAsia="仿宋_GB2312" w:cs="仿宋_GB2312"/>
                <w:sz w:val="24"/>
              </w:rPr>
              <w:t xml:space="preserve">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sz w:val="24"/>
              </w:rPr>
            </w:pPr>
            <w:r>
              <w:rPr>
                <w:rFonts w:hint="eastAsia" w:ascii="仿宋_GB2312" w:hAnsi="仿宋_GB2312" w:eastAsia="仿宋_GB2312" w:cs="仿宋_GB2312"/>
                <w:sz w:val="24"/>
              </w:rPr>
              <w:t>住宿要求</w:t>
            </w:r>
          </w:p>
        </w:tc>
        <w:tc>
          <w:tcPr>
            <w:tcW w:w="8715" w:type="dxa"/>
            <w:gridSpan w:val="7"/>
            <w:vAlign w:val="center"/>
          </w:tcPr>
          <w:p>
            <w:pPr>
              <w:spacing w:line="360" w:lineRule="auto"/>
              <w:rPr>
                <w:rFonts w:hint="eastAsia"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烟台</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rFonts w:hint="eastAsia"/>
                <w:sz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rFonts w:hint="eastAsia"/>
                <w:sz w:val="24"/>
              </w:rPr>
            </w:pPr>
            <w:r>
              <w:rPr>
                <w:rFonts w:hint="eastAsia" w:ascii="仿宋_GB2312" w:hAnsi="仿宋_GB2312" w:eastAsia="仿宋_GB2312" w:cs="仿宋_GB2312"/>
                <w:sz w:val="24"/>
              </w:rPr>
              <w:t>单位意见</w:t>
            </w:r>
          </w:p>
        </w:tc>
        <w:tc>
          <w:tcPr>
            <w:tcW w:w="8715" w:type="dxa"/>
            <w:gridSpan w:val="7"/>
            <w:vAlign w:val="center"/>
          </w:tcPr>
          <w:p>
            <w:pPr>
              <w:jc w:val="left"/>
              <w:rPr>
                <w:rFonts w:hint="eastAsia"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 xml:space="preserve">我单位同意选派以上  位老师参加   月   日   </w:t>
            </w:r>
            <w:r>
              <w:rPr>
                <w:rFonts w:hint="eastAsia" w:ascii="仿宋_GB2312" w:eastAsia="仿宋_GB2312" w:cs="仿宋_GB2312"/>
                <w:sz w:val="24"/>
                <w:lang w:eastAsia="zh-CN"/>
              </w:rPr>
              <w:t>高考志愿咨询师岗位能力培训</w:t>
            </w:r>
            <w:r>
              <w:rPr>
                <w:rFonts w:hint="eastAsia" w:ascii="仿宋_GB2312" w:eastAsia="仿宋_GB2312" w:cs="仿宋_GB2312"/>
                <w:sz w:val="24"/>
              </w:rPr>
              <w:t xml:space="preserve">                                       单位盖章</w:t>
            </w:r>
          </w:p>
          <w:p>
            <w:pPr>
              <w:jc w:val="left"/>
              <w:rPr>
                <w:rFonts w:hint="eastAsia"/>
                <w:szCs w:val="21"/>
              </w:rPr>
            </w:pPr>
            <w:r>
              <w:rPr>
                <w:rFonts w:hint="eastAsia" w:ascii="仿宋_GB2312" w:eastAsia="仿宋_GB2312" w:cs="仿宋_GB2312"/>
                <w:sz w:val="24"/>
              </w:rPr>
              <w:t xml:space="preserve">                                      年   月   日     </w:t>
            </w:r>
            <w:r>
              <w:rPr>
                <w:rFonts w:hint="eastAsia"/>
                <w:szCs w:val="21"/>
              </w:rPr>
              <w:t xml:space="preserve">        </w:t>
            </w:r>
          </w:p>
        </w:tc>
      </w:tr>
    </w:tbl>
    <w:p>
      <w:pPr>
        <w:spacing w:line="380" w:lineRule="exact"/>
        <w:rPr>
          <w:rFonts w:hint="eastAsia" w:ascii="楷体_GB2312" w:hAnsi="楷体_GB2312" w:eastAsia="楷体_GB2312" w:cs="楷体_GB2312"/>
          <w:sz w:val="28"/>
          <w:szCs w:val="28"/>
        </w:rPr>
      </w:pPr>
    </w:p>
    <w:p/>
    <w:sectPr>
      <w:pgSz w:w="11906" w:h="16838"/>
      <w:pgMar w:top="1270" w:right="1576" w:bottom="127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68F5"/>
    <w:multiLevelType w:val="singleLevel"/>
    <w:tmpl w:val="589D68F5"/>
    <w:lvl w:ilvl="0" w:tentative="0">
      <w:start w:val="2"/>
      <w:numFmt w:val="decimal"/>
      <w:suff w:val="nothing"/>
      <w:lvlText w:val="%1、"/>
      <w:lvlJc w:val="left"/>
    </w:lvl>
  </w:abstractNum>
  <w:abstractNum w:abstractNumId="1">
    <w:nsid w:val="58A3D161"/>
    <w:multiLevelType w:val="singleLevel"/>
    <w:tmpl w:val="58A3D161"/>
    <w:lvl w:ilvl="0" w:tentative="0">
      <w:start w:val="7"/>
      <w:numFmt w:val="decimal"/>
      <w:suff w:val="nothing"/>
      <w:lvlText w:val="%1、"/>
      <w:lvlJc w:val="left"/>
    </w:lvl>
  </w:abstractNum>
  <w:abstractNum w:abstractNumId="2">
    <w:nsid w:val="58A3FF7D"/>
    <w:multiLevelType w:val="singleLevel"/>
    <w:tmpl w:val="58A3FF7D"/>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66A0"/>
    <w:rsid w:val="00081B9B"/>
    <w:rsid w:val="00094687"/>
    <w:rsid w:val="000B583B"/>
    <w:rsid w:val="001A7103"/>
    <w:rsid w:val="002266A0"/>
    <w:rsid w:val="00505826"/>
    <w:rsid w:val="00515BE2"/>
    <w:rsid w:val="00527A87"/>
    <w:rsid w:val="005334D6"/>
    <w:rsid w:val="00636951"/>
    <w:rsid w:val="00845D4F"/>
    <w:rsid w:val="00A277F9"/>
    <w:rsid w:val="00AA02F4"/>
    <w:rsid w:val="00C46C0F"/>
    <w:rsid w:val="00D64D4D"/>
    <w:rsid w:val="00DD269A"/>
    <w:rsid w:val="00DF465D"/>
    <w:rsid w:val="00F27641"/>
    <w:rsid w:val="023801D6"/>
    <w:rsid w:val="05A818B1"/>
    <w:rsid w:val="06690572"/>
    <w:rsid w:val="0E3D622F"/>
    <w:rsid w:val="124E2A89"/>
    <w:rsid w:val="165966B6"/>
    <w:rsid w:val="17234D6D"/>
    <w:rsid w:val="1E9B3389"/>
    <w:rsid w:val="1ED049DC"/>
    <w:rsid w:val="25B1454C"/>
    <w:rsid w:val="266F57DF"/>
    <w:rsid w:val="29C528E5"/>
    <w:rsid w:val="29DB28BE"/>
    <w:rsid w:val="2F1D6B38"/>
    <w:rsid w:val="30802088"/>
    <w:rsid w:val="312460A5"/>
    <w:rsid w:val="3244044E"/>
    <w:rsid w:val="32CC71D1"/>
    <w:rsid w:val="41497FEA"/>
    <w:rsid w:val="4685378B"/>
    <w:rsid w:val="47F755A1"/>
    <w:rsid w:val="4EF87158"/>
    <w:rsid w:val="500412E3"/>
    <w:rsid w:val="55ED3109"/>
    <w:rsid w:val="5AEE7AC8"/>
    <w:rsid w:val="67E53502"/>
    <w:rsid w:val="68C95AB6"/>
    <w:rsid w:val="69342E7D"/>
    <w:rsid w:val="6F04799A"/>
    <w:rsid w:val="6F741EA4"/>
    <w:rsid w:val="70871527"/>
    <w:rsid w:val="74AE30F7"/>
    <w:rsid w:val="7CD15255"/>
    <w:rsid w:val="7DB51CFC"/>
    <w:rsid w:val="7E344549"/>
    <w:rsid w:val="7EA37C8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标题 2 Char"/>
    <w:basedOn w:val="7"/>
    <w:link w:val="2"/>
    <w:qFormat/>
    <w:uiPriority w:val="9"/>
    <w:rPr>
      <w:rFonts w:ascii="宋体" w:hAnsi="宋体" w:eastAsia="宋体" w:cs="宋体"/>
      <w:b/>
      <w:bCs/>
      <w:kern w:val="0"/>
      <w:sz w:val="36"/>
      <w:szCs w:val="36"/>
    </w:rPr>
  </w:style>
  <w:style w:type="character" w:customStyle="1" w:styleId="16">
    <w:name w:val="apple-converted-space"/>
    <w:basedOn w:val="7"/>
    <w:qFormat/>
    <w:uiPriority w:val="0"/>
  </w:style>
  <w:style w:type="character" w:customStyle="1" w:styleId="17">
    <w:name w:val="praise_num"/>
    <w:basedOn w:val="7"/>
    <w:qFormat/>
    <w:uiPriority w:val="0"/>
  </w:style>
  <w:style w:type="character" w:customStyle="1" w:styleId="18">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617</Words>
  <Characters>3522</Characters>
  <Lines>29</Lines>
  <Paragraphs>8</Paragraphs>
  <ScaleCrop>false</ScaleCrop>
  <LinksUpToDate>false</LinksUpToDate>
  <CharactersWithSpaces>4131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2017-02-07T06:13:00Z</dcterms:created>
  <dc:creator>mac</dc:creator>
  <cp:lastModifiedBy>Administrator</cp:lastModifiedBy>
  <dcterms:modified xsi:type="dcterms:W3CDTF">2017-03-02T02:28:23Z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