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ascii="锐字云字库大标宋体 1.0" w:hAnsi="锐字云字库大标宋体 1.0" w:eastAsia="锐字云字库大标宋体 1.0" w:cs="锐字云字库大标宋体 1.0"/>
          <w:b/>
          <w:bCs/>
          <w:color w:val="FF0000"/>
          <w:sz w:val="72"/>
          <w:szCs w:val="72"/>
        </w:rPr>
      </w:pPr>
      <w:r>
        <w:rPr>
          <w:rFonts w:hint="eastAsia" w:ascii="锐字云字库大标宋体 1.0" w:hAnsi="锐字云字库大标宋体 1.0" w:eastAsia="锐字云字库大标宋体 1.0" w:cs="锐字云字库大标宋体 1.0"/>
          <w:b/>
          <w:bCs/>
          <w:color w:val="FF0000"/>
          <w:sz w:val="72"/>
          <w:szCs w:val="72"/>
        </w:rPr>
        <w:t>中国人生科学学会</w:t>
      </w:r>
    </w:p>
    <w:p>
      <w:pPr>
        <w:adjustRightInd w:val="0"/>
        <w:snapToGrid w:val="0"/>
        <w:jc w:val="distribute"/>
        <w:rPr>
          <w:rFonts w:ascii="锐字云字库大标宋体 1.0" w:hAnsi="锐字云字库大标宋体 1.0" w:eastAsia="锐字云字库大标宋体 1.0" w:cs="锐字云字库大标宋体 1.0"/>
          <w:b/>
          <w:bCs/>
          <w:color w:val="FF0000"/>
          <w:sz w:val="72"/>
          <w:szCs w:val="72"/>
        </w:rPr>
      </w:pPr>
      <w:r>
        <w:rPr>
          <w:rFonts w:hint="eastAsia" w:ascii="锐字云字库大标宋体 1.0" w:hAnsi="锐字云字库大标宋体 1.0" w:eastAsia="锐字云字库大标宋体 1.0" w:cs="锐字云字库大标宋体 1.0"/>
          <w:b/>
          <w:bCs/>
          <w:color w:val="FF0000"/>
          <w:sz w:val="72"/>
          <w:szCs w:val="72"/>
        </w:rPr>
        <w:t>学生发展指导专委会</w:t>
      </w:r>
    </w:p>
    <w:p>
      <w:pPr>
        <w:adjustRightInd w:val="0"/>
        <w:snapToGrid w:val="0"/>
        <w:jc w:val="distribute"/>
        <w:rPr>
          <w:rFonts w:ascii="锐字云字库大标宋体 1.0" w:hAnsi="锐字云字库大标宋体 1.0" w:eastAsia="锐字云字库大标宋体 1.0" w:cs="锐字云字库大标宋体 1.0"/>
          <w:b/>
          <w:bCs/>
          <w:sz w:val="48"/>
          <w:szCs w:val="48"/>
        </w:rPr>
      </w:pPr>
      <w:r>
        <w:rPr>
          <w:rFonts w:ascii="华文楷体" w:hAnsi="华文楷体" w:eastAsia="华文楷体" w:cs="锐字云字库小标宋体1.0"/>
          <w:b/>
          <w:bCs/>
          <w:color w:val="FF0000"/>
          <w:sz w:val="48"/>
          <w:szCs w:val="48"/>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582295</wp:posOffset>
                </wp:positionV>
                <wp:extent cx="5848350" cy="9525"/>
                <wp:effectExtent l="0" t="0" r="0" b="0"/>
                <wp:wrapNone/>
                <wp:docPr id="1" name="Line 2"/>
                <wp:cNvGraphicFramePr/>
                <a:graphic xmlns:a="http://schemas.openxmlformats.org/drawingml/2006/main">
                  <a:graphicData uri="http://schemas.microsoft.com/office/word/2010/wordprocessingShape">
                    <wps:wsp>
                      <wps:cNvCnPr/>
                      <wps:spPr>
                        <a:xfrm>
                          <a:off x="0" y="0"/>
                          <a:ext cx="5848350" cy="952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Line 2" o:spid="_x0000_s1026" o:spt="20" style="position:absolute;left:0pt;margin-left:-17.7pt;margin-top:45.85pt;height:0.75pt;width:460.5pt;z-index:251658240;mso-width-relative:page;mso-height-relative:page;" filled="f" stroked="t" coordsize="21600,21600" o:gfxdata="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74eYdkAAAAJAQAADwAAAAAAAAABACAAAAAiAAAAZHJzL2Rvd25yZXYu&#10;eG1sUEsBAhQAFAAAAAgAh07iQNOsZ33BAQAAkQMAAA4AAAAAAAAAAQAgAAAAKAEAAGRycy9lMm9E&#10;b2MueG1sUEsFBgAAAAAGAAYAWQEAAFsFAAAAAA==&#10;">
                <v:fill on="f" focussize="0,0"/>
                <v:stroke weight="2.25pt" color="#FF0000" joinstyle="round"/>
                <v:imagedata o:title=""/>
                <o:lock v:ext="edit" aspectratio="f"/>
              </v:line>
            </w:pict>
          </mc:Fallback>
        </mc:AlternateContent>
      </w:r>
      <w:r>
        <w:rPr>
          <w:rFonts w:hint="eastAsia" w:ascii="华文楷体" w:hAnsi="华文楷体" w:eastAsia="华文楷体" w:cs="锐字云字库小标宋体1.0"/>
          <w:b/>
          <w:bCs/>
          <w:color w:val="FF0000"/>
          <w:sz w:val="48"/>
          <w:szCs w:val="48"/>
        </w:rPr>
        <w:t>全国批判性思维培养研究总课题组</w:t>
      </w:r>
    </w:p>
    <w:p>
      <w:pPr>
        <w:spacing w:line="360" w:lineRule="auto"/>
        <w:rPr>
          <w:rFonts w:ascii="华文楷体" w:hAnsi="华文楷体" w:eastAsia="华文楷体" w:cs="楷体"/>
          <w:b/>
          <w:bCs/>
          <w:sz w:val="36"/>
          <w:szCs w:val="36"/>
        </w:rPr>
      </w:pPr>
      <w:r>
        <w:rPr>
          <w:rFonts w:hint="eastAsia" w:ascii="华文楷体" w:hAnsi="华文楷体" w:eastAsia="华文楷体" w:cs="楷体"/>
          <w:b/>
          <w:bCs/>
          <w:sz w:val="36"/>
          <w:szCs w:val="36"/>
        </w:rPr>
        <w:t xml:space="preserve">                            </w:t>
      </w:r>
    </w:p>
    <w:p/>
    <w:p>
      <w:pPr>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关于举办全国首届中学生批判性思维培养与未来发展研讨会的通知</w:t>
      </w:r>
    </w:p>
    <w:p>
      <w:pPr>
        <w:rPr>
          <w:rFonts w:hint="eastAsia"/>
          <w:lang w:eastAsia="zh-CN"/>
        </w:rPr>
      </w:pPr>
    </w:p>
    <w:p>
      <w:pPr>
        <w:jc w:val="left"/>
        <w:rPr>
          <w:rFonts w:hint="eastAsia" w:eastAsiaTheme="minorEastAsia"/>
          <w:b/>
          <w:bCs/>
          <w:sz w:val="24"/>
          <w:szCs w:val="24"/>
          <w:lang w:eastAsia="zh-CN"/>
        </w:rPr>
      </w:pPr>
      <w:r>
        <w:rPr>
          <w:rFonts w:hint="eastAsia"/>
          <w:b/>
          <w:bCs/>
          <w:sz w:val="24"/>
          <w:szCs w:val="24"/>
          <w:lang w:eastAsia="zh-CN"/>
        </w:rPr>
        <w:t>全国各教育局、高中、初中学校：</w:t>
      </w:r>
    </w:p>
    <w:p>
      <w:pPr>
        <w:ind w:firstLine="480" w:firstLineChars="200"/>
        <w:jc w:val="left"/>
        <w:rPr>
          <w:rFonts w:hint="eastAsia" w:ascii="仿宋_GB2312" w:hAnsi="仿宋_GB2312" w:eastAsia="仿宋_GB2312" w:cs="仿宋_GB2312"/>
          <w:sz w:val="24"/>
          <w:szCs w:val="24"/>
        </w:rPr>
      </w:pP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批判性思维”是以理性和开放性为核心的理智美德和思维能力的结合，是一种追求公正思维与合理决策的思维策略与技能。批判性思维具有德育和智育的双重意义。在德育上，批判性思维涵纳了谦虚、谨慎、客观、具体、公正、反省、开放等品质；在智育上，它是一组辨别、分析、判断和发展的高阶思维技能。</w:t>
      </w: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教育是面向未来的。批判性思维是未来公民在社会生活和工作中必须具有的一系列习性和能力。</w:t>
      </w:r>
      <w:r>
        <w:rPr>
          <w:rFonts w:hint="eastAsia" w:ascii="仿宋_GB2312" w:hAnsi="仿宋_GB2312" w:eastAsia="仿宋_GB2312" w:cs="仿宋_GB2312"/>
          <w:sz w:val="24"/>
          <w:szCs w:val="24"/>
          <w:lang w:eastAsia="zh-CN"/>
        </w:rPr>
        <w:t>开展批判性思维教育是</w:t>
      </w:r>
      <w:r>
        <w:rPr>
          <w:rFonts w:hint="eastAsia" w:ascii="仿宋_GB2312" w:hAnsi="仿宋_GB2312" w:eastAsia="仿宋_GB2312" w:cs="仿宋_GB2312"/>
          <w:sz w:val="24"/>
          <w:szCs w:val="24"/>
        </w:rPr>
        <w:t>帮助学习者形成追求公正思维与合理决策的思维策略与技能。</w:t>
      </w:r>
    </w:p>
    <w:p>
      <w:pPr>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学生缺乏批判性思维能力已成为教育界的共识。这将严重影响他们未来的择校、择业以及社会生活能力。一个在只关注寻找正确答案的教育模式下成长起来的学生，会缺乏独立性和创造性，没有创新、探索的能力和勇气，只会寻找令老师</w:t>
      </w:r>
      <w:r>
        <w:rPr>
          <w:rFonts w:hint="eastAsia" w:ascii="仿宋_GB2312" w:hAnsi="仿宋_GB2312" w:eastAsia="仿宋_GB2312" w:cs="仿宋_GB2312"/>
          <w:sz w:val="24"/>
          <w:szCs w:val="24"/>
          <w:lang w:eastAsia="zh-CN"/>
        </w:rPr>
        <w:t>、家长</w:t>
      </w:r>
      <w:r>
        <w:rPr>
          <w:rFonts w:hint="eastAsia" w:ascii="仿宋_GB2312" w:hAnsi="仿宋_GB2312" w:eastAsia="仿宋_GB2312" w:cs="仿宋_GB2312"/>
          <w:sz w:val="24"/>
          <w:szCs w:val="24"/>
        </w:rPr>
        <w:t>满意或书本认同的正确答案，思路狭窄，易颓废或偏激，要么倾向盲从，要么固执己见。中国教师没有批判性思维教育传统，缺乏科学训练方法，无法为学生提供应有的指导。</w:t>
      </w:r>
    </w:p>
    <w:p>
      <w:pPr>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为解决我国批判性思维教育的难题，</w:t>
      </w:r>
      <w:r>
        <w:rPr>
          <w:rFonts w:hint="eastAsia" w:ascii="仿宋_GB2312" w:hAnsi="仿宋_GB2312" w:eastAsia="仿宋_GB2312" w:cs="仿宋_GB2312"/>
          <w:sz w:val="24"/>
          <w:szCs w:val="24"/>
          <w:lang w:eastAsia="zh-CN"/>
        </w:rPr>
        <w:t>帮助学校</w:t>
      </w:r>
      <w:r>
        <w:rPr>
          <w:rFonts w:hint="eastAsia" w:ascii="仿宋_GB2312" w:hAnsi="仿宋_GB2312" w:eastAsia="仿宋_GB2312" w:cs="仿宋_GB2312"/>
          <w:sz w:val="24"/>
          <w:szCs w:val="24"/>
        </w:rPr>
        <w:t>批判性思维课程的建设，助力培养学生支撑终身发展、适应时代要求的关键能力，</w:t>
      </w:r>
      <w:r>
        <w:rPr>
          <w:rFonts w:hint="eastAsia" w:ascii="仿宋_GB2312" w:hAnsi="仿宋_GB2312" w:eastAsia="仿宋_GB2312" w:cs="仿宋_GB2312"/>
          <w:sz w:val="24"/>
          <w:szCs w:val="24"/>
          <w:lang w:eastAsia="zh-CN"/>
        </w:rPr>
        <w:t>推进中国学生发展核心素养的有效实施，</w:t>
      </w:r>
      <w:r>
        <w:rPr>
          <w:rFonts w:hint="eastAsia" w:ascii="仿宋_GB2312" w:hAnsi="仿宋_GB2312" w:eastAsia="仿宋_GB2312" w:cs="仿宋_GB2312"/>
          <w:sz w:val="24"/>
          <w:szCs w:val="24"/>
        </w:rPr>
        <w:t>中国人生科学学会学生发展指导专委会将举办全国首届中学生批判性思维培养与未来发展研讨会。具体事宜如下：</w:t>
      </w: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主办单位：</w:t>
      </w:r>
      <w:r>
        <w:rPr>
          <w:rFonts w:hint="eastAsia" w:ascii="仿宋_GB2312" w:hAnsi="仿宋_GB2312" w:eastAsia="仿宋_GB2312" w:cs="仿宋_GB2312"/>
          <w:sz w:val="24"/>
          <w:szCs w:val="24"/>
        </w:rPr>
        <w:t>中国人生科学学会学生发展指导专业委员会</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承办单位：</w:t>
      </w:r>
      <w:r>
        <w:rPr>
          <w:rFonts w:hint="eastAsia" w:ascii="仿宋_GB2312" w:hAnsi="仿宋_GB2312" w:eastAsia="仿宋_GB2312" w:cs="仿宋_GB2312"/>
          <w:sz w:val="24"/>
          <w:szCs w:val="24"/>
        </w:rPr>
        <w:t xml:space="preserve">北京成长智慧教育科技有限公司  </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学术支持：</w:t>
      </w:r>
      <w:r>
        <w:rPr>
          <w:rFonts w:hint="eastAsia" w:ascii="仿宋_GB2312" w:hAnsi="仿宋_GB2312" w:eastAsia="仿宋_GB2312" w:cs="仿宋_GB2312"/>
          <w:sz w:val="24"/>
          <w:szCs w:val="24"/>
        </w:rPr>
        <w:t>批判性思维培养与学生未来发展研究总课题组</w:t>
      </w:r>
    </w:p>
    <w:p>
      <w:pPr>
        <w:ind w:firstLine="482" w:firstLineChars="200"/>
        <w:jc w:val="left"/>
        <w:rPr>
          <w:rFonts w:hint="eastAsia" w:ascii="仿宋_GB2312" w:hAnsi="仿宋_GB2312" w:eastAsia="仿宋_GB2312" w:cs="仿宋_GB2312"/>
          <w:b/>
          <w:bCs/>
          <w:sz w:val="24"/>
          <w:szCs w:val="24"/>
        </w:rPr>
      </w:pPr>
    </w:p>
    <w:p>
      <w:pPr>
        <w:numPr>
          <w:ilvl w:val="0"/>
          <w:numId w:val="1"/>
        </w:num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研讨目标</w:t>
      </w:r>
    </w:p>
    <w:p>
      <w:pPr>
        <w:numPr>
          <w:ilvl w:val="0"/>
          <w:numId w:val="0"/>
        </w:numPr>
        <w:jc w:val="lef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加强学校对批判性思维理论认识，帮助学校</w:t>
      </w:r>
      <w:r>
        <w:rPr>
          <w:rFonts w:hint="eastAsia" w:ascii="仿宋_GB2312" w:hAnsi="仿宋_GB2312" w:eastAsia="仿宋_GB2312" w:cs="仿宋_GB2312"/>
          <w:sz w:val="24"/>
          <w:szCs w:val="24"/>
          <w:lang w:eastAsia="zh-CN"/>
        </w:rPr>
        <w:t>建设</w:t>
      </w:r>
      <w:r>
        <w:rPr>
          <w:rFonts w:hint="eastAsia" w:ascii="仿宋_GB2312" w:hAnsi="仿宋_GB2312" w:eastAsia="仿宋_GB2312" w:cs="仿宋_GB2312"/>
          <w:sz w:val="24"/>
          <w:szCs w:val="24"/>
        </w:rPr>
        <w:t>批判性思维课程体系和培养学生具有批判性思维的核心素养。</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二、研讨主要内容</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1、基础教育阶段批判性思维培养的目标和方向</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2、批判性</w:t>
      </w:r>
      <w:r>
        <w:rPr>
          <w:rFonts w:hint="eastAsia" w:ascii="仿宋_GB2312" w:hAnsi="仿宋_GB2312" w:eastAsia="仿宋_GB2312" w:cs="仿宋_GB2312"/>
          <w:sz w:val="24"/>
          <w:szCs w:val="24"/>
          <w:lang w:eastAsia="zh-CN"/>
        </w:rPr>
        <w:t>思维</w:t>
      </w:r>
      <w:r>
        <w:rPr>
          <w:rFonts w:hint="eastAsia" w:ascii="仿宋_GB2312" w:hAnsi="仿宋_GB2312" w:eastAsia="仿宋_GB2312" w:cs="仿宋_GB2312"/>
          <w:sz w:val="24"/>
          <w:szCs w:val="24"/>
        </w:rPr>
        <w:t>课程体系</w:t>
      </w:r>
      <w:r>
        <w:rPr>
          <w:rFonts w:hint="eastAsia" w:ascii="仿宋_GB2312" w:hAnsi="仿宋_GB2312" w:eastAsia="仿宋_GB2312" w:cs="仿宋_GB2312"/>
          <w:sz w:val="24"/>
          <w:szCs w:val="24"/>
          <w:lang w:eastAsia="zh-CN"/>
        </w:rPr>
        <w:t>建设研讨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3、如何在学科教学中发展学生的批判性思维能力</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批判性思维教师培养策略</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5、批判性思维教材开发研究</w:t>
      </w:r>
      <w:r>
        <w:rPr>
          <w:rFonts w:hint="eastAsia" w:ascii="仿宋_GB2312" w:hAnsi="仿宋_GB2312" w:eastAsia="仿宋_GB2312" w:cs="仿宋_GB2312"/>
          <w:sz w:val="24"/>
          <w:szCs w:val="24"/>
          <w:lang w:eastAsia="zh-CN"/>
        </w:rPr>
        <w:t>与实践</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6、一线学校分享批判性思维研究成果及学生变化</w:t>
      </w:r>
    </w:p>
    <w:p>
      <w:pPr>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拟定邀请的专家领导介绍</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杨东平：</w:t>
      </w:r>
      <w:r>
        <w:rPr>
          <w:rFonts w:hint="eastAsia" w:ascii="仿宋_GB2312" w:hAnsi="仿宋_GB2312" w:eastAsia="仿宋_GB2312" w:cs="仿宋_GB2312"/>
          <w:sz w:val="24"/>
          <w:szCs w:val="24"/>
        </w:rPr>
        <w:t>国家教育咨询委员会委员、国家考试指导委员会委员，</w:t>
      </w:r>
    </w:p>
    <w:p>
      <w:pPr>
        <w:ind w:firstLine="960" w:firstLineChars="4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中国陶行知研究会常务副会长 21世纪教育研究院院长</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杜国平：</w:t>
      </w:r>
      <w:r>
        <w:rPr>
          <w:rFonts w:hint="eastAsia" w:ascii="仿宋_GB2312" w:hAnsi="仿宋_GB2312" w:eastAsia="仿宋_GB2312" w:cs="仿宋_GB2312"/>
          <w:sz w:val="24"/>
          <w:szCs w:val="24"/>
        </w:rPr>
        <w:t>教授，博士生导师。哲学博士、工学博士。现任中国社会科学院哲学研究所研究员，中国逻辑学会副会长兼秘书长、中国逻辑学会应用逻辑专业委员会主任。现为中国社会科学院逻辑学创新工程项目首席研究员，国家社科基金重大招标项目首席专家。</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董  毓：</w:t>
      </w:r>
      <w:r>
        <w:rPr>
          <w:rFonts w:hint="eastAsia" w:ascii="仿宋_GB2312" w:hAnsi="仿宋_GB2312" w:eastAsia="仿宋_GB2312" w:cs="仿宋_GB2312"/>
          <w:sz w:val="24"/>
          <w:szCs w:val="24"/>
        </w:rPr>
        <w:t>加拿大麦克马斯特大学（McMaster University）哲学博士，华中科技大学客座教授，教育部高等学校文化素质教育指导委员会批判性思维和创新教育分指导委员会（筹）主任委员。先后在华中科技大学和武汉大学接受理工科和哲学的本科及研究生教育。在英国伦敦经济学院的波普尔和拉卡托斯学派指导下进行逻辑和科学方法论的学习和研究。</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余党绪：</w:t>
      </w:r>
      <w:r>
        <w:rPr>
          <w:rFonts w:hint="eastAsia" w:ascii="仿宋_GB2312" w:hAnsi="仿宋_GB2312" w:eastAsia="仿宋_GB2312" w:cs="仿宋_GB2312"/>
          <w:sz w:val="24"/>
          <w:szCs w:val="24"/>
        </w:rPr>
        <w:t>上海市语文特级教师</w:t>
      </w:r>
      <w:r>
        <w:rPr>
          <w:rFonts w:hint="eastAsia" w:ascii="仿宋_GB2312" w:hAnsi="仿宋_GB2312" w:eastAsia="仿宋_GB2312" w:cs="仿宋_GB2312"/>
          <w:sz w:val="24"/>
          <w:szCs w:val="24"/>
          <w:lang w:eastAsia="zh-CN"/>
        </w:rPr>
        <w:t>；上海师大附中副校长；</w:t>
      </w:r>
      <w:r>
        <w:rPr>
          <w:rFonts w:hint="eastAsia" w:ascii="仿宋_GB2312" w:hAnsi="仿宋_GB2312" w:eastAsia="仿宋_GB2312" w:cs="仿宋_GB2312"/>
          <w:sz w:val="24"/>
          <w:szCs w:val="24"/>
        </w:rPr>
        <w:t>潜心探索“思辨性阅读”与“批判性思维”的培育。著有《人文探究》《公民表达与写作教学》及“中学生思辨读本”等。</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周远生：</w:t>
      </w:r>
      <w:r>
        <w:rPr>
          <w:rFonts w:hint="eastAsia" w:ascii="仿宋_GB2312" w:hAnsi="仿宋_GB2312" w:eastAsia="仿宋_GB2312" w:cs="仿宋_GB2312"/>
          <w:sz w:val="24"/>
          <w:szCs w:val="24"/>
        </w:rPr>
        <w:t>山东潍坊新纪元学校校长，兼任上海新纪元教育集团副总裁、上海新纪元教育发展研究院院长。全国批判性思维教育重点科研基地负责人</w:t>
      </w:r>
    </w:p>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rPr>
        <w:t>李文辉</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sz w:val="24"/>
          <w:szCs w:val="24"/>
        </w:rPr>
        <w:t>中国人生科学学会学生发展指导专委会理事</w:t>
      </w:r>
      <w:r>
        <w:rPr>
          <w:rFonts w:hint="eastAsia" w:ascii="仿宋_GB2312" w:hAnsi="仿宋_GB2312" w:eastAsia="仿宋_GB2312" w:cs="仿宋_GB2312"/>
          <w:sz w:val="24"/>
          <w:szCs w:val="24"/>
          <w:lang w:eastAsia="zh-CN"/>
        </w:rPr>
        <w:t>长</w:t>
      </w:r>
    </w:p>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批判性思维培养与学生未来发展研究总课题组</w:t>
      </w:r>
      <w:r>
        <w:rPr>
          <w:rFonts w:hint="eastAsia" w:ascii="仿宋_GB2312" w:hAnsi="仿宋_GB2312" w:eastAsia="仿宋_GB2312" w:cs="仿宋_GB2312"/>
          <w:sz w:val="24"/>
          <w:szCs w:val="24"/>
          <w:lang w:eastAsia="zh-CN"/>
        </w:rPr>
        <w:t>负责人</w:t>
      </w:r>
    </w:p>
    <w:p>
      <w:pPr>
        <w:ind w:firstLine="482" w:firstLineChars="200"/>
        <w:jc w:val="left"/>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    </w:t>
      </w: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四、参会对象</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省、市、县初、高中校长、中高层相关领导</w:t>
      </w: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各地教育局教学及德育负责人及高中教学、德育校长、骨干教师</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五、研讨方式</w:t>
      </w: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专家讲座、专题研讨、案例分析、教研论坛等</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六、会议时间、地点</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  间：2017年12月</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日-1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日报到）</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  点：厦门市</w:t>
      </w:r>
    </w:p>
    <w:p>
      <w:pPr>
        <w:numPr>
          <w:ilvl w:val="0"/>
          <w:numId w:val="0"/>
        </w:numPr>
        <w:ind w:firstLine="241" w:firstLineChars="100"/>
        <w:jc w:val="left"/>
        <w:rPr>
          <w:rFonts w:hint="eastAsia" w:ascii="仿宋_GB2312" w:hAnsi="仿宋_GB2312" w:eastAsia="仿宋_GB2312" w:cs="仿宋_GB2312"/>
          <w:b/>
          <w:bCs/>
          <w:sz w:val="24"/>
          <w:szCs w:val="24"/>
          <w:lang w:eastAsia="zh-CN"/>
        </w:rPr>
      </w:pPr>
    </w:p>
    <w:p>
      <w:pPr>
        <w:numPr>
          <w:ilvl w:val="0"/>
          <w:numId w:val="0"/>
        </w:num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七、</w:t>
      </w:r>
      <w:r>
        <w:rPr>
          <w:rFonts w:hint="eastAsia" w:ascii="仿宋_GB2312" w:hAnsi="仿宋_GB2312" w:eastAsia="仿宋_GB2312" w:cs="仿宋_GB2312"/>
          <w:b/>
          <w:bCs/>
          <w:sz w:val="24"/>
          <w:szCs w:val="24"/>
        </w:rPr>
        <w:t>关于发言:</w:t>
      </w:r>
    </w:p>
    <w:p>
      <w:pPr>
        <w:numPr>
          <w:ilvl w:val="0"/>
          <w:numId w:val="0"/>
        </w:num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如果需要在会上发言的代表，请提前电告组委会，以便安排发言时间。</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八、研修认证</w:t>
      </w:r>
      <w:r>
        <w:rPr>
          <w:rFonts w:hint="eastAsia" w:ascii="仿宋_GB2312" w:hAnsi="仿宋_GB2312" w:eastAsia="仿宋_GB2312" w:cs="仿宋_GB2312"/>
          <w:sz w:val="24"/>
          <w:szCs w:val="24"/>
        </w:rPr>
        <w:t xml:space="preserve">  </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完成全部课程的学员，将获得由主办单位颁发的“2017全国</w:t>
      </w:r>
      <w:r>
        <w:rPr>
          <w:rFonts w:hint="eastAsia" w:ascii="仿宋_GB2312" w:hAnsi="仿宋_GB2312" w:eastAsia="仿宋_GB2312" w:cs="仿宋_GB2312"/>
          <w:sz w:val="24"/>
          <w:szCs w:val="24"/>
          <w:lang w:eastAsia="zh-CN"/>
        </w:rPr>
        <w:t>中学批判性思维教育</w:t>
      </w:r>
      <w:r>
        <w:rPr>
          <w:rFonts w:hint="eastAsia" w:ascii="仿宋_GB2312" w:hAnsi="仿宋_GB2312" w:eastAsia="仿宋_GB2312" w:cs="仿宋_GB2312"/>
          <w:sz w:val="24"/>
          <w:szCs w:val="24"/>
        </w:rPr>
        <w:t>与学生未来发展高级研修班”结业证书。</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九、费用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80元/人（包括：资料费、电子会刊费、学习费、专家费、场地费、学校考察交通费）</w:t>
      </w:r>
    </w:p>
    <w:p>
      <w:pPr>
        <w:numPr>
          <w:ilvl w:val="0"/>
          <w:numId w:val="2"/>
        </w:num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开会期间食宿费用自理，协助安排宾馆，标准260——360元/人/天。</w:t>
      </w:r>
    </w:p>
    <w:p>
      <w:pPr>
        <w:numPr>
          <w:ilvl w:val="0"/>
          <w:numId w:val="2"/>
        </w:num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此次会务费用由北京</w:t>
      </w:r>
      <w:r>
        <w:rPr>
          <w:rFonts w:hint="eastAsia" w:ascii="仿宋_GB2312" w:hAnsi="仿宋_GB2312" w:eastAsia="仿宋_GB2312" w:cs="仿宋_GB2312"/>
          <w:sz w:val="24"/>
          <w:szCs w:val="24"/>
          <w:lang w:eastAsia="zh-CN"/>
        </w:rPr>
        <w:t>成长智慧</w:t>
      </w:r>
      <w:r>
        <w:rPr>
          <w:rFonts w:hint="eastAsia" w:ascii="仿宋_GB2312" w:hAnsi="仿宋_GB2312" w:eastAsia="仿宋_GB2312" w:cs="仿宋_GB2312"/>
          <w:sz w:val="24"/>
          <w:szCs w:val="24"/>
        </w:rPr>
        <w:t>教育</w:t>
      </w:r>
      <w:r>
        <w:rPr>
          <w:rFonts w:hint="eastAsia" w:ascii="仿宋_GB2312" w:hAnsi="仿宋_GB2312" w:eastAsia="仿宋_GB2312" w:cs="仿宋_GB2312"/>
          <w:sz w:val="24"/>
          <w:szCs w:val="24"/>
          <w:lang w:eastAsia="zh-CN"/>
        </w:rPr>
        <w:t>科技有限公司</w:t>
      </w:r>
      <w:bookmarkStart w:id="0" w:name="_GoBack"/>
      <w:bookmarkEnd w:id="0"/>
      <w:r>
        <w:rPr>
          <w:rFonts w:hint="eastAsia" w:ascii="仿宋_GB2312" w:hAnsi="仿宋_GB2312" w:eastAsia="仿宋_GB2312" w:cs="仿宋_GB2312"/>
          <w:sz w:val="24"/>
          <w:szCs w:val="24"/>
        </w:rPr>
        <w:t>代收并开具发票。</w:t>
      </w:r>
    </w:p>
    <w:p>
      <w:pPr>
        <w:numPr>
          <w:ilvl w:val="0"/>
          <w:numId w:val="0"/>
        </w:num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总课题组重点实验基地免费（培训费）1人参加；示范基地免费 2人参加。</w:t>
      </w:r>
    </w:p>
    <w:p>
      <w:pPr>
        <w:ind w:firstLine="482" w:firstLineChars="200"/>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十、会议要求</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进入学生发展指导专委会官网www.zgxxsygh.com（下载报名表），“报名回执”反馈后3日内将会务费汇至指定账户，以便组委会提前安排与会老师的参会资料、食宿。（食宿费在报到当天办理。）报名截止时间为2017年</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日，额满即止！</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2、为安全起见，身体状况不佳的老师不得参加。</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3、为保证研讨会效果及学习期间的正常管理，请不要带亲属及小孩。</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4、为保证安全，会务组将组织学员统一往返，请各位学员妥善保管个人票证、行李等财物。</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5、参训学员提前准备好自己在工作中遇到的问题、课例、案例等，以便在研修活动中交流和研讨。</w:t>
      </w:r>
    </w:p>
    <w:p>
      <w:pPr>
        <w:jc w:val="left"/>
        <w:rPr>
          <w:rFonts w:hint="eastAsia" w:ascii="仿宋_GB2312" w:hAnsi="仿宋_GB2312" w:eastAsia="仿宋_GB2312" w:cs="仿宋_GB2312"/>
          <w:b/>
          <w:bCs/>
          <w:sz w:val="24"/>
          <w:szCs w:val="24"/>
        </w:rPr>
      </w:pPr>
    </w:p>
    <w:p>
      <w:pPr>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十一、 组委会联系方式</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联系人：李老师      </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  话：010-61354811   15810469859</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箱:</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nyltlihai@126.com</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  址：</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"http://www.zgxxsygh.com（专委会官网下载报名表）"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http://www.zgxxsygh.com（专委会官网下载报名表）</w:t>
      </w:r>
      <w:r>
        <w:rPr>
          <w:rFonts w:hint="eastAsia" w:ascii="仿宋_GB2312" w:hAnsi="仿宋_GB2312" w:eastAsia="仿宋_GB2312" w:cs="仿宋_GB2312"/>
          <w:sz w:val="24"/>
          <w:szCs w:val="24"/>
        </w:rPr>
        <w:fldChar w:fldCharType="end"/>
      </w:r>
    </w:p>
    <w:p>
      <w:pPr>
        <w:ind w:firstLine="480" w:firstLineChars="200"/>
        <w:jc w:val="left"/>
        <w:rPr>
          <w:rFonts w:hint="eastAsia" w:ascii="宋体" w:hAnsi="宋体" w:eastAsia="宋体" w:cs="宋体"/>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中国人生科学学会学生发展专委会</w:t>
      </w:r>
    </w:p>
    <w:p>
      <w:pPr>
        <w:ind w:firstLine="480"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2017年</w:t>
      </w:r>
      <w:r>
        <w:rPr>
          <w:rFonts w:hint="eastAsia" w:ascii="楷体_GB2312" w:hAnsi="楷体_GB2312" w:eastAsia="楷体_GB2312" w:cs="楷体_GB2312"/>
          <w:sz w:val="24"/>
          <w:szCs w:val="24"/>
          <w:lang w:val="en-US" w:eastAsia="zh-CN"/>
        </w:rPr>
        <w:t>11</w:t>
      </w:r>
      <w:r>
        <w:rPr>
          <w:rFonts w:hint="eastAsia" w:ascii="楷体_GB2312" w:hAnsi="楷体_GB2312" w:eastAsia="楷体_GB2312" w:cs="楷体_GB2312"/>
          <w:sz w:val="24"/>
          <w:szCs w:val="24"/>
        </w:rPr>
        <w:t>月1日</w:t>
      </w: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ind w:firstLine="480" w:firstLineChars="200"/>
        <w:jc w:val="left"/>
        <w:rPr>
          <w:rFonts w:hint="eastAsia" w:ascii="楷体_GB2312" w:hAnsi="楷体_GB2312" w:eastAsia="楷体_GB2312" w:cs="楷体_GB2312"/>
          <w:sz w:val="24"/>
          <w:szCs w:val="24"/>
        </w:rPr>
      </w:pPr>
    </w:p>
    <w:p>
      <w:pPr>
        <w:spacing w:before="156" w:beforeLines="50" w:line="400" w:lineRule="exact"/>
        <w:ind w:firstLine="643" w:firstLineChars="200"/>
        <w:jc w:val="both"/>
        <w:rPr>
          <w:rFonts w:hint="eastAsia"/>
        </w:rPr>
      </w:pPr>
      <w:r>
        <w:rPr>
          <w:rFonts w:hint="eastAsia" w:ascii="楷体_GB2312" w:hAnsi="楷体_GB2312" w:eastAsia="楷体_GB2312" w:cs="楷体_GB2312"/>
          <w:b/>
          <w:bCs/>
          <w:sz w:val="32"/>
          <w:szCs w:val="32"/>
        </w:rPr>
        <w:t>全国首届中学生批判性思维培养与未来发展研讨会报名表</w:t>
      </w:r>
      <w:r>
        <w:rPr>
          <w:rFonts w:hint="eastAsia" w:ascii="楷体_GB2312" w:hAnsi="楷体_GB2312" w:eastAsia="楷体_GB2312" w:cs="楷体_GB2312"/>
          <w:b/>
          <w:bCs/>
          <w:sz w:val="36"/>
          <w:szCs w:val="36"/>
          <w:lang w:val="en-US" w:eastAsia="zh-CN"/>
        </w:rPr>
        <w:t xml:space="preserve"> </w:t>
      </w:r>
    </w:p>
    <w:tbl>
      <w:tblPr>
        <w:tblStyle w:val="7"/>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78"/>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7" w:type="dxa"/>
            <w:vAlign w:val="center"/>
          </w:tcPr>
          <w:p>
            <w:pPr>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单位</w:t>
            </w:r>
          </w:p>
          <w:p>
            <w:pPr>
              <w:jc w:val="center"/>
              <w:rPr>
                <w:rFonts w:hint="eastAsia"/>
                <w:color w:val="FF0000"/>
                <w:sz w:val="24"/>
                <w:szCs w:val="24"/>
              </w:rPr>
            </w:pPr>
            <w:r>
              <w:rPr>
                <w:rFonts w:hint="eastAsia" w:ascii="仿宋_GB2312" w:hAnsi="仿宋_GB2312" w:eastAsia="仿宋_GB2312" w:cs="仿宋_GB2312"/>
                <w:color w:val="FF0000"/>
                <w:sz w:val="24"/>
                <w:szCs w:val="24"/>
                <w:lang w:eastAsia="zh-CN"/>
              </w:rPr>
              <w:t>名称</w:t>
            </w:r>
          </w:p>
        </w:tc>
        <w:tc>
          <w:tcPr>
            <w:tcW w:w="8668" w:type="dxa"/>
            <w:gridSpan w:val="7"/>
            <w:vAlign w:val="center"/>
          </w:tcPr>
          <w:p>
            <w:pPr>
              <w:jc w:val="center"/>
              <w:rPr>
                <w:rFonts w:hint="eastAsia"/>
                <w:sz w:val="24"/>
                <w:szCs w:val="24"/>
              </w:rPr>
            </w:pPr>
            <w:r>
              <w:rPr>
                <w:rFonts w:hint="eastAsia"/>
                <w:color w:val="FF0000"/>
                <w:sz w:val="24"/>
                <w:szCs w:val="24"/>
                <w:lang w:eastAsia="zh-CN"/>
              </w:rPr>
              <w:t>由本单位会计填写（发票一经开出不退不换）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77" w:type="dxa"/>
            <w:vAlign w:val="center"/>
          </w:tcPr>
          <w:p>
            <w:pPr>
              <w:jc w:val="center"/>
              <w:rPr>
                <w:rFonts w:hint="eastAsia" w:ascii="仿宋_GB2312" w:hAnsi="仿宋_GB2312" w:eastAsia="仿宋_GB2312" w:cs="仿宋_GB2312"/>
                <w:color w:val="FF0000"/>
                <w:sz w:val="24"/>
                <w:szCs w:val="24"/>
                <w:lang w:eastAsia="zh-CN"/>
              </w:rPr>
            </w:pPr>
            <w:r>
              <w:rPr>
                <w:rFonts w:hint="eastAsia" w:ascii="仿宋_GB2312" w:hAnsi="仿宋_GB2312" w:eastAsia="仿宋_GB2312" w:cs="仿宋_GB2312"/>
                <w:color w:val="FF0000"/>
                <w:sz w:val="24"/>
                <w:szCs w:val="24"/>
                <w:lang w:eastAsia="zh-CN"/>
              </w:rPr>
              <w:t>纳税人识别号</w:t>
            </w:r>
          </w:p>
        </w:tc>
        <w:tc>
          <w:tcPr>
            <w:tcW w:w="8668" w:type="dxa"/>
            <w:gridSpan w:val="7"/>
            <w:vAlign w:val="center"/>
          </w:tcPr>
          <w:p>
            <w:pPr>
              <w:jc w:val="center"/>
              <w:rPr>
                <w:rFonts w:hint="eastAsia"/>
                <w:sz w:val="24"/>
                <w:szCs w:val="24"/>
              </w:rPr>
            </w:pPr>
            <w:r>
              <w:rPr>
                <w:rFonts w:hint="eastAsia"/>
                <w:color w:val="FF0000"/>
                <w:sz w:val="24"/>
                <w:szCs w:val="24"/>
                <w:lang w:eastAsia="zh-CN"/>
              </w:rPr>
              <w:t>由本单位会计填写（发票一经开出不退不换）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77" w:type="dxa"/>
            <w:vAlign w:val="center"/>
          </w:tcPr>
          <w:p>
            <w:pPr>
              <w:jc w:val="both"/>
              <w:rPr>
                <w:rFonts w:hint="eastAsia" w:ascii="仿宋_GB2312" w:hAnsi="仿宋_GB2312" w:eastAsia="仿宋_GB2312" w:cs="仿宋_GB2312"/>
                <w:color w:val="FF0000"/>
                <w:sz w:val="24"/>
                <w:szCs w:val="24"/>
                <w:lang w:eastAsia="zh-CN"/>
              </w:rPr>
            </w:pPr>
            <w:r>
              <w:rPr>
                <w:rFonts w:hint="eastAsia" w:ascii="仿宋" w:hAnsi="仿宋" w:eastAsia="仿宋" w:cs="仿宋"/>
                <w:color w:val="FF0000"/>
                <w:sz w:val="24"/>
                <w:szCs w:val="24"/>
                <w:lang w:eastAsia="zh-CN"/>
              </w:rPr>
              <w:t>开户行</w:t>
            </w:r>
            <w:r>
              <w:rPr>
                <w:rFonts w:hint="eastAsia" w:ascii="仿宋_GB2312" w:hAnsi="仿宋_GB2312" w:eastAsia="仿宋_GB2312" w:cs="仿宋_GB2312"/>
                <w:color w:val="FF0000"/>
                <w:sz w:val="24"/>
                <w:szCs w:val="24"/>
                <w:lang w:eastAsia="zh-CN"/>
              </w:rPr>
              <w:t>及账号</w:t>
            </w:r>
          </w:p>
        </w:tc>
        <w:tc>
          <w:tcPr>
            <w:tcW w:w="8668" w:type="dxa"/>
            <w:gridSpan w:val="7"/>
            <w:vAlign w:val="center"/>
          </w:tcPr>
          <w:p>
            <w:pPr>
              <w:jc w:val="center"/>
              <w:rPr>
                <w:rFonts w:hint="eastAsia"/>
                <w:sz w:val="24"/>
                <w:szCs w:val="24"/>
              </w:rPr>
            </w:pPr>
            <w:r>
              <w:rPr>
                <w:rFonts w:hint="eastAsia"/>
                <w:color w:val="FF0000"/>
                <w:sz w:val="24"/>
                <w:szCs w:val="24"/>
                <w:lang w:eastAsia="zh-CN"/>
              </w:rPr>
              <w:t>由本单位会计填写（如不需要可以不填）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7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邮寄</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地址</w:t>
            </w:r>
          </w:p>
        </w:tc>
        <w:tc>
          <w:tcPr>
            <w:tcW w:w="4343" w:type="dxa"/>
            <w:gridSpan w:val="4"/>
            <w:vAlign w:val="center"/>
          </w:tcPr>
          <w:p>
            <w:pPr>
              <w:jc w:val="center"/>
              <w:rPr>
                <w:rFonts w:hint="eastAsia"/>
                <w:sz w:val="24"/>
                <w:szCs w:val="24"/>
              </w:rPr>
            </w:pP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邮编</w:t>
            </w: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77" w:type="dxa"/>
            <w:vMerge w:val="restart"/>
            <w:vAlign w:val="center"/>
          </w:tcPr>
          <w:p>
            <w:pPr>
              <w:jc w:val="center"/>
              <w:rPr>
                <w:rFonts w:hint="eastAsia"/>
                <w:sz w:val="24"/>
                <w:szCs w:val="24"/>
              </w:rPr>
            </w:pPr>
            <w:r>
              <w:rPr>
                <w:rFonts w:hint="eastAsia" w:ascii="仿宋_GB2312" w:hAnsi="仿宋_GB2312" w:eastAsia="仿宋_GB2312" w:cs="仿宋_GB2312"/>
                <w:sz w:val="24"/>
                <w:szCs w:val="24"/>
              </w:rPr>
              <w:t>带队</w:t>
            </w:r>
          </w:p>
        </w:tc>
        <w:tc>
          <w:tcPr>
            <w:tcW w:w="1178" w:type="dxa"/>
            <w:vAlign w:val="center"/>
          </w:tcPr>
          <w:p>
            <w:pPr>
              <w:jc w:val="center"/>
              <w:rPr>
                <w:rFonts w:hint="eastAsia"/>
                <w:sz w:val="24"/>
                <w:szCs w:val="24"/>
              </w:rPr>
            </w:pPr>
            <w:r>
              <w:rPr>
                <w:rFonts w:hint="eastAsia" w:ascii="仿宋_GB2312" w:hAnsi="仿宋_GB2312" w:eastAsia="仿宋_GB2312" w:cs="仿宋_GB2312"/>
                <w:sz w:val="24"/>
                <w:szCs w:val="24"/>
              </w:rPr>
              <w:t>姓名</w:t>
            </w:r>
          </w:p>
        </w:tc>
        <w:tc>
          <w:tcPr>
            <w:tcW w:w="530" w:type="dxa"/>
            <w:vAlign w:val="center"/>
          </w:tcPr>
          <w:p>
            <w:pPr>
              <w:jc w:val="center"/>
              <w:rPr>
                <w:rFonts w:hint="eastAsia"/>
                <w:sz w:val="24"/>
                <w:szCs w:val="24"/>
              </w:rPr>
            </w:pPr>
            <w:r>
              <w:rPr>
                <w:rFonts w:hint="eastAsia" w:ascii="仿宋_GB2312" w:hAnsi="仿宋_GB2312" w:eastAsia="仿宋_GB2312" w:cs="仿宋_GB2312"/>
                <w:sz w:val="24"/>
                <w:szCs w:val="24"/>
              </w:rPr>
              <w:t>性别</w:t>
            </w:r>
          </w:p>
        </w:tc>
        <w:tc>
          <w:tcPr>
            <w:tcW w:w="885" w:type="dxa"/>
            <w:vAlign w:val="center"/>
          </w:tcPr>
          <w:p>
            <w:pPr>
              <w:jc w:val="center"/>
              <w:rPr>
                <w:rFonts w:hint="eastAsia"/>
                <w:sz w:val="24"/>
                <w:szCs w:val="24"/>
              </w:rPr>
            </w:pPr>
            <w:r>
              <w:rPr>
                <w:rFonts w:hint="eastAsia" w:ascii="仿宋_GB2312" w:hAnsi="仿宋_GB2312" w:eastAsia="仿宋_GB2312" w:cs="仿宋_GB2312"/>
                <w:sz w:val="24"/>
                <w:szCs w:val="24"/>
              </w:rPr>
              <w:t>职务</w:t>
            </w:r>
          </w:p>
        </w:tc>
        <w:tc>
          <w:tcPr>
            <w:tcW w:w="1750" w:type="dxa"/>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手机</w:t>
            </w:r>
          </w:p>
        </w:tc>
        <w:tc>
          <w:tcPr>
            <w:tcW w:w="675" w:type="dxa"/>
            <w:vAlign w:val="center"/>
          </w:tcPr>
          <w:p>
            <w:pPr>
              <w:jc w:val="center"/>
              <w:rPr>
                <w:rFonts w:hint="eastAsia"/>
                <w:sz w:val="24"/>
                <w:szCs w:val="24"/>
              </w:rPr>
            </w:pPr>
            <w:r>
              <w:rPr>
                <w:rFonts w:hint="eastAsia"/>
                <w:sz w:val="24"/>
                <w:szCs w:val="24"/>
              </w:rPr>
              <w:t>QQ</w:t>
            </w:r>
          </w:p>
        </w:tc>
        <w:tc>
          <w:tcPr>
            <w:tcW w:w="2030"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sz w:val="24"/>
                <w:szCs w:val="24"/>
              </w:rPr>
            </w:pPr>
          </w:p>
        </w:tc>
        <w:tc>
          <w:tcPr>
            <w:tcW w:w="1178"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675" w:type="dxa"/>
            <w:vAlign w:val="center"/>
          </w:tcPr>
          <w:p>
            <w:pPr>
              <w:jc w:val="center"/>
              <w:rPr>
                <w:rFonts w:hint="eastAsia"/>
                <w:sz w:val="24"/>
                <w:szCs w:val="24"/>
              </w:rPr>
            </w:pPr>
            <w:r>
              <w:rPr>
                <w:rFonts w:hint="eastAsia" w:ascii="仿宋_GB2312" w:hAnsi="仿宋_GB2312" w:eastAsia="仿宋_GB2312" w:cs="仿宋_GB2312"/>
                <w:sz w:val="24"/>
                <w:szCs w:val="24"/>
              </w:rPr>
              <w:t>邮箱</w:t>
            </w:r>
          </w:p>
        </w:tc>
        <w:tc>
          <w:tcPr>
            <w:tcW w:w="2030"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w:t>
            </w:r>
          </w:p>
          <w:p>
            <w:pPr>
              <w:jc w:val="center"/>
              <w:rPr>
                <w:rFonts w:hint="eastAsia" w:ascii="仿宋_GB2312" w:hAnsi="仿宋_GB2312" w:eastAsia="仿宋_GB2312" w:cs="仿宋_GB2312"/>
                <w:sz w:val="24"/>
                <w:szCs w:val="24"/>
              </w:rPr>
            </w:pPr>
          </w:p>
          <w:p>
            <w:pPr>
              <w:jc w:val="center"/>
              <w:rPr>
                <w:rFonts w:hint="eastAsia"/>
                <w:sz w:val="24"/>
                <w:szCs w:val="24"/>
              </w:rPr>
            </w:pPr>
            <w:r>
              <w:rPr>
                <w:rFonts w:hint="eastAsia" w:ascii="仿宋_GB2312" w:hAnsi="仿宋_GB2312" w:eastAsia="仿宋_GB2312" w:cs="仿宋_GB2312"/>
                <w:sz w:val="24"/>
                <w:szCs w:val="24"/>
              </w:rPr>
              <w:t>师</w:t>
            </w:r>
          </w:p>
        </w:tc>
        <w:tc>
          <w:tcPr>
            <w:tcW w:w="1178"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sz w:val="24"/>
                <w:szCs w:val="24"/>
              </w:rPr>
            </w:pPr>
          </w:p>
        </w:tc>
        <w:tc>
          <w:tcPr>
            <w:tcW w:w="1178"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sz w:val="24"/>
                <w:szCs w:val="24"/>
              </w:rPr>
            </w:pPr>
          </w:p>
        </w:tc>
        <w:tc>
          <w:tcPr>
            <w:tcW w:w="1178"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vAlign w:val="center"/>
          </w:tcPr>
          <w:p>
            <w:pPr>
              <w:jc w:val="center"/>
              <w:rPr>
                <w:rFonts w:hint="eastAsia"/>
                <w:sz w:val="24"/>
                <w:szCs w:val="24"/>
              </w:rPr>
            </w:pPr>
          </w:p>
        </w:tc>
        <w:tc>
          <w:tcPr>
            <w:tcW w:w="1178"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建议与</w:t>
            </w:r>
          </w:p>
          <w:p>
            <w:pPr>
              <w:jc w:val="center"/>
              <w:rPr>
                <w:rFonts w:hint="eastAsia"/>
                <w:sz w:val="24"/>
                <w:szCs w:val="24"/>
              </w:rPr>
            </w:pPr>
            <w:r>
              <w:rPr>
                <w:rFonts w:hint="eastAsia" w:ascii="仿宋_GB2312" w:hAnsi="仿宋_GB2312" w:eastAsia="仿宋_GB2312" w:cs="仿宋_GB2312"/>
                <w:sz w:val="24"/>
                <w:szCs w:val="24"/>
              </w:rPr>
              <w:t>征询</w:t>
            </w:r>
          </w:p>
        </w:tc>
        <w:tc>
          <w:tcPr>
            <w:tcW w:w="8668" w:type="dxa"/>
            <w:gridSpan w:val="7"/>
            <w:vAlign w:val="center"/>
          </w:tcPr>
          <w:p>
            <w:pPr>
              <w:rPr>
                <w:rFonts w:hint="eastAsia"/>
                <w:sz w:val="24"/>
                <w:szCs w:val="24"/>
              </w:rPr>
            </w:pPr>
            <w:r>
              <w:rPr>
                <w:rFonts w:hint="eastAsia" w:ascii="仿宋_GB2312" w:eastAsia="仿宋_GB2312" w:cs="仿宋_GB2312"/>
                <w:sz w:val="24"/>
              </w:rPr>
              <w:t>对讲课议题的建议及发言材料：（可另附纸传真至会务组，或电子版发至报名邮箱）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汇款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8668" w:type="dxa"/>
            <w:gridSpan w:val="7"/>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开户银行：中国工商银行北京房山支行良乡分理处</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帐户名称：北京成长智慧教育科技有限公司  </w:t>
            </w:r>
          </w:p>
          <w:p>
            <w:pPr>
              <w:rPr>
                <w:rFonts w:hint="eastAsia" w:ascii="仿宋_GB2312" w:eastAsia="仿宋_GB2312" w:cs="仿宋_GB2312"/>
                <w:sz w:val="24"/>
              </w:rPr>
            </w:pPr>
            <w:r>
              <w:rPr>
                <w:rFonts w:hint="eastAsia" w:ascii="仿宋_GB2312" w:hAnsi="仿宋_GB2312" w:eastAsia="仿宋_GB2312" w:cs="仿宋_GB2312"/>
                <w:sz w:val="24"/>
              </w:rPr>
              <w:t xml:space="preserve">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w:t>
            </w:r>
          </w:p>
          <w:p>
            <w:pPr>
              <w:jc w:val="center"/>
              <w:rPr>
                <w:rFonts w:hint="eastAsia"/>
                <w:sz w:val="24"/>
                <w:szCs w:val="24"/>
              </w:rPr>
            </w:pPr>
            <w:r>
              <w:rPr>
                <w:rFonts w:hint="eastAsia" w:ascii="仿宋_GB2312" w:hAnsi="仿宋_GB2312" w:eastAsia="仿宋_GB2312" w:cs="仿宋_GB2312"/>
                <w:sz w:val="24"/>
                <w:szCs w:val="24"/>
              </w:rPr>
              <w:t>要求</w:t>
            </w:r>
          </w:p>
        </w:tc>
        <w:tc>
          <w:tcPr>
            <w:tcW w:w="8668" w:type="dxa"/>
            <w:gridSpan w:val="7"/>
            <w:vAlign w:val="center"/>
          </w:tcPr>
          <w:p>
            <w:pPr>
              <w:spacing w:line="360" w:lineRule="auto"/>
              <w:rPr>
                <w:rFonts w:hint="eastAsia" w:ascii="仿宋_GB2312" w:eastAsia="仿宋_GB2312" w:cs="仿宋_GB2312"/>
                <w:sz w:val="24"/>
              </w:rPr>
            </w:pPr>
            <w:r>
              <w:rPr>
                <w:rFonts w:hint="eastAsia" w:ascii="仿宋_GB2312" w:eastAsia="仿宋_GB2312" w:cs="仿宋_GB2312"/>
                <w:sz w:val="24"/>
              </w:rPr>
              <w:t>会议地点：</w:t>
            </w:r>
            <w:r>
              <w:rPr>
                <w:rFonts w:hint="eastAsia" w:ascii="仿宋_GB2312" w:eastAsia="仿宋_GB2312" w:cs="仿宋_GB2312"/>
                <w:sz w:val="24"/>
                <w:lang w:eastAsia="zh-CN"/>
              </w:rPr>
              <w:t>厦门</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rFonts w:hint="eastAsia"/>
                <w:sz w:val="24"/>
                <w:szCs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77"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jc w:val="center"/>
              <w:rPr>
                <w:rFonts w:hint="eastAsia"/>
                <w:sz w:val="24"/>
                <w:szCs w:val="24"/>
              </w:rPr>
            </w:pPr>
            <w:r>
              <w:rPr>
                <w:rFonts w:hint="eastAsia" w:ascii="仿宋_GB2312" w:hAnsi="仿宋_GB2312" w:eastAsia="仿宋_GB2312" w:cs="仿宋_GB2312"/>
                <w:sz w:val="24"/>
                <w:szCs w:val="24"/>
              </w:rPr>
              <w:t>意见</w:t>
            </w:r>
          </w:p>
        </w:tc>
        <w:tc>
          <w:tcPr>
            <w:tcW w:w="8668" w:type="dxa"/>
            <w:gridSpan w:val="7"/>
            <w:vAlign w:val="center"/>
          </w:tcPr>
          <w:p>
            <w:pPr>
              <w:jc w:val="left"/>
              <w:rPr>
                <w:rFonts w:hint="eastAsia" w:ascii="仿宋_GB2312" w:eastAsia="仿宋_GB2312" w:cs="仿宋_GB2312"/>
                <w:sz w:val="24"/>
              </w:rPr>
            </w:pPr>
            <w:r>
              <w:rPr>
                <w:rFonts w:hint="eastAsia" w:ascii="仿宋_GB2312" w:hAnsi="仿宋_GB2312" w:eastAsia="仿宋_GB2312" w:cs="仿宋_GB2312"/>
                <w:szCs w:val="21"/>
              </w:rPr>
              <w:t xml:space="preserve">    </w:t>
            </w:r>
            <w:r>
              <w:rPr>
                <w:rFonts w:hint="eastAsia" w:ascii="仿宋_GB2312" w:eastAsia="仿宋_GB2312" w:cs="仿宋_GB2312"/>
                <w:sz w:val="24"/>
              </w:rPr>
              <w:t>我单位同意选派以上  位老师参加   月   日</w:t>
            </w:r>
            <w:r>
              <w:rPr>
                <w:rFonts w:hint="eastAsia" w:ascii="仿宋_GB2312" w:eastAsia="仿宋_GB2312" w:cs="仿宋_GB2312"/>
                <w:sz w:val="24"/>
                <w:lang w:eastAsia="zh-CN"/>
              </w:rPr>
              <w:t>《首届全国初中生涯规划教育发展指导高峰论坛》</w:t>
            </w:r>
            <w:r>
              <w:rPr>
                <w:rFonts w:hint="eastAsia" w:ascii="仿宋_GB2312" w:eastAsia="仿宋_GB2312" w:cs="仿宋_GB2312"/>
                <w:sz w:val="24"/>
              </w:rPr>
              <w:t>。</w:t>
            </w:r>
          </w:p>
          <w:p>
            <w:pPr>
              <w:jc w:val="left"/>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单位盖章</w:t>
            </w:r>
          </w:p>
          <w:p>
            <w:pPr>
              <w:jc w:val="left"/>
              <w:rPr>
                <w:rFonts w:hint="eastAsia"/>
                <w:szCs w:val="21"/>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年   月   日     </w:t>
            </w:r>
            <w:r>
              <w:rPr>
                <w:rFonts w:hint="eastAsia"/>
                <w:szCs w:val="21"/>
              </w:rPr>
              <w:t xml:space="preserve">        </w:t>
            </w:r>
          </w:p>
        </w:tc>
      </w:tr>
    </w:tbl>
    <w:p>
      <w:pPr>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注：1、请有意参加观摩的学员填写回执表并及时电邮至会务组（也可直接电话报名），会务组</w:t>
      </w:r>
      <w:r>
        <w:rPr>
          <w:rFonts w:hint="eastAsia" w:ascii="楷体" w:hAnsi="楷体" w:eastAsia="楷体" w:cs="楷体"/>
          <w:lang w:val="en-US" w:eastAsia="zh-CN"/>
        </w:rPr>
        <w:t xml:space="preserve"> </w:t>
      </w:r>
      <w:r>
        <w:rPr>
          <w:rFonts w:hint="eastAsia" w:ascii="楷体" w:hAnsi="楷体" w:eastAsia="楷体" w:cs="楷体"/>
        </w:rPr>
        <w:t>在收到报名回执后将于开班前7天下发《报到通知》，告知具体地点和行车路线等事项。</w:t>
      </w:r>
    </w:p>
    <w:p>
      <w:r>
        <w:rPr>
          <w:rFonts w:hint="eastAsia" w:ascii="楷体" w:hAnsi="楷体" w:eastAsia="楷体" w:cs="楷体"/>
          <w:lang w:val="en-US" w:eastAsia="zh-CN"/>
        </w:rPr>
        <w:t xml:space="preserve">     </w:t>
      </w:r>
      <w:r>
        <w:rPr>
          <w:rFonts w:hint="eastAsia" w:ascii="楷体" w:hAnsi="楷体" w:eastAsia="楷体" w:cs="楷体"/>
        </w:rPr>
        <w:t>2、参会人数多于十一人以上单位可自行复制报名表。（会务组统一开具发票，发票内容为会务费或培训费）。汇款后请将汇款单扫描件发至:</w:t>
      </w:r>
      <w:r>
        <w:t xml:space="preserve"> </w:t>
      </w:r>
      <w:r>
        <w:rPr>
          <w:rFonts w:hint="eastAsia" w:ascii="楷体" w:hAnsi="楷体" w:eastAsia="楷体" w:cs="楷体"/>
          <w:lang w:val="en-US" w:eastAsia="zh-CN"/>
        </w:rPr>
        <w:t>xuefang0310</w:t>
      </w:r>
      <w:r>
        <w:rPr>
          <w:rFonts w:ascii="楷体" w:hAnsi="楷体" w:eastAsia="楷体" w:cs="楷体"/>
        </w:rPr>
        <w:t>@126.com</w:t>
      </w:r>
      <w:r>
        <w:rPr>
          <w:rFonts w:hint="eastAsia" w:ascii="楷体" w:hAnsi="楷体" w:eastAsia="楷体" w:cs="楷体"/>
        </w:rPr>
        <w:t>,并注明开票单位和内容。</w:t>
      </w:r>
    </w:p>
    <w:p>
      <w:pPr>
        <w:rPr>
          <w:rFonts w:hint="eastAsia" w:ascii="楷体_GB2312" w:hAnsi="楷体_GB2312" w:eastAsia="楷体_GB2312" w:cs="楷体_GB2312"/>
          <w:sz w:val="24"/>
          <w:szCs w:val="24"/>
        </w:rPr>
      </w:pPr>
    </w:p>
    <w:sectPr>
      <w:pgSz w:w="11906" w:h="16838"/>
      <w:pgMar w:top="1440" w:right="1616" w:bottom="1440" w:left="16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锐字云字库大标宋体 1.0">
    <w:altName w:val="宋体"/>
    <w:panose1 w:val="00000000000000000000"/>
    <w:charset w:val="86"/>
    <w:family w:val="auto"/>
    <w:pitch w:val="default"/>
    <w:sig w:usb0="00000000" w:usb1="00000000" w:usb2="00000000" w:usb3="00000000" w:csb0="00040001" w:csb1="00000000"/>
  </w:font>
  <w:font w:name="华文楷体">
    <w:altName w:val="宋体"/>
    <w:panose1 w:val="02010600040101010101"/>
    <w:charset w:val="50"/>
    <w:family w:val="auto"/>
    <w:pitch w:val="default"/>
    <w:sig w:usb0="00000000" w:usb1="00000000" w:usb2="00000016" w:usb3="00000000" w:csb0="0004001F" w:csb1="00000000"/>
  </w:font>
  <w:font w:name="锐字云字库小标宋体1.0">
    <w:altName w:val="宋体"/>
    <w:panose1 w:val="00000000000000000000"/>
    <w:charset w:val="86"/>
    <w:family w:val="auto"/>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黑体">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50"/>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EA44"/>
    <w:multiLevelType w:val="singleLevel"/>
    <w:tmpl w:val="59EFEA44"/>
    <w:lvl w:ilvl="0" w:tentative="0">
      <w:start w:val="2"/>
      <w:numFmt w:val="decimal"/>
      <w:suff w:val="nothing"/>
      <w:lvlText w:val="%1、"/>
      <w:lvlJc w:val="left"/>
    </w:lvl>
  </w:abstractNum>
  <w:abstractNum w:abstractNumId="1">
    <w:nsid w:val="59EFEAB0"/>
    <w:multiLevelType w:val="singleLevel"/>
    <w:tmpl w:val="59EFEAB0"/>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22"/>
    <w:rsid w:val="001C6F22"/>
    <w:rsid w:val="00247422"/>
    <w:rsid w:val="0035697B"/>
    <w:rsid w:val="0044786C"/>
    <w:rsid w:val="004F7042"/>
    <w:rsid w:val="005E08C0"/>
    <w:rsid w:val="008455FD"/>
    <w:rsid w:val="00872EF1"/>
    <w:rsid w:val="00A47115"/>
    <w:rsid w:val="00A63434"/>
    <w:rsid w:val="00E13F9B"/>
    <w:rsid w:val="00F648BE"/>
    <w:rsid w:val="061B2F12"/>
    <w:rsid w:val="08F717BF"/>
    <w:rsid w:val="0AB073C2"/>
    <w:rsid w:val="0B230C28"/>
    <w:rsid w:val="11226A45"/>
    <w:rsid w:val="139335C3"/>
    <w:rsid w:val="1A784563"/>
    <w:rsid w:val="1C3B30F5"/>
    <w:rsid w:val="1DDC046D"/>
    <w:rsid w:val="20CC54D7"/>
    <w:rsid w:val="20F76C2F"/>
    <w:rsid w:val="211A19A5"/>
    <w:rsid w:val="24A10805"/>
    <w:rsid w:val="26396D8A"/>
    <w:rsid w:val="2BE22E99"/>
    <w:rsid w:val="30BB79A7"/>
    <w:rsid w:val="376C0F8E"/>
    <w:rsid w:val="37AF3297"/>
    <w:rsid w:val="38CA388D"/>
    <w:rsid w:val="396B7645"/>
    <w:rsid w:val="432E19BB"/>
    <w:rsid w:val="447836CE"/>
    <w:rsid w:val="458F6E39"/>
    <w:rsid w:val="478A62B5"/>
    <w:rsid w:val="4C661E61"/>
    <w:rsid w:val="4D0537AA"/>
    <w:rsid w:val="5BC46AAF"/>
    <w:rsid w:val="60421A9A"/>
    <w:rsid w:val="681E73CD"/>
    <w:rsid w:val="695C3DB1"/>
    <w:rsid w:val="6E2F14BD"/>
    <w:rsid w:val="72674266"/>
    <w:rsid w:val="73804B8F"/>
    <w:rsid w:val="74D72BD1"/>
    <w:rsid w:val="758E0D5D"/>
    <w:rsid w:val="7AB40125"/>
    <w:rsid w:val="7C3A14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Hyperlink"/>
    <w:qFormat/>
    <w:uiPriority w:val="0"/>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abc</Company>
  <Pages>5</Pages>
  <Words>271</Words>
  <Characters>1549</Characters>
  <Lines>12</Lines>
  <Paragraphs>3</Paragraphs>
  <ScaleCrop>false</ScaleCrop>
  <LinksUpToDate>false</LinksUpToDate>
  <CharactersWithSpaces>1817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2017-10-22T13:42:00Z</dcterms:created>
  <dc:creator>Administrator</dc:creator>
  <cp:lastModifiedBy>泡沫</cp:lastModifiedBy>
  <dcterms:modified xsi:type="dcterms:W3CDTF">2017-11-02T08:34:21Z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