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3" w:firstLineChars="100"/>
        <w:jc w:val="distribute"/>
        <w:rPr>
          <w:rFonts w:ascii="宋体" w:hAnsi="宋体" w:eastAsia="宋体" w:cs="宋体"/>
          <w:b/>
          <w:bCs/>
          <w:color w:val="FF0000"/>
          <w:kern w:val="0"/>
          <w:sz w:val="72"/>
          <w:szCs w:val="72"/>
          <w:lang w:val="en-US" w:eastAsia="zh-CN" w:bidi="ar"/>
        </w:rPr>
      </w:pPr>
      <w:r>
        <w:rPr>
          <w:rFonts w:hint="eastAsia" w:ascii="宋体" w:hAnsi="宋体" w:eastAsia="宋体" w:cs="宋体"/>
          <w:b/>
          <w:bCs/>
          <w:color w:val="FF0000"/>
          <w:kern w:val="0"/>
          <w:sz w:val="72"/>
          <w:szCs w:val="72"/>
          <w:lang w:val="en-US" w:eastAsia="zh-CN" w:bidi="ar"/>
        </w:rPr>
        <w:t>2018新高考背景</w:t>
      </w:r>
      <w:r>
        <w:rPr>
          <w:rFonts w:ascii="宋体" w:hAnsi="宋体" w:eastAsia="宋体" w:cs="宋体"/>
          <w:b/>
          <w:bCs/>
          <w:color w:val="FF0000"/>
          <w:kern w:val="0"/>
          <w:sz w:val="72"/>
          <w:szCs w:val="72"/>
          <w:lang w:val="en-US" w:eastAsia="zh-CN" w:bidi="ar"/>
        </w:rPr>
        <w:t>下的</w:t>
      </w:r>
    </w:p>
    <w:p>
      <w:pPr>
        <w:keepNext w:val="0"/>
        <w:keepLines w:val="0"/>
        <w:widowControl/>
        <w:suppressLineNumbers w:val="0"/>
        <w:ind w:firstLine="723" w:firstLineChars="100"/>
        <w:jc w:val="distribute"/>
        <w:rPr>
          <w:rFonts w:hint="eastAsia" w:ascii="宋体" w:hAnsi="宋体" w:eastAsia="宋体" w:cs="宋体"/>
          <w:b/>
          <w:bCs/>
          <w:color w:val="FF0000"/>
          <w:kern w:val="0"/>
          <w:sz w:val="72"/>
          <w:szCs w:val="72"/>
          <w:lang w:val="en-US" w:eastAsia="zh-CN" w:bidi="ar"/>
        </w:rPr>
      </w:pPr>
      <w:r>
        <w:rPr>
          <w:rFonts w:hint="eastAsia" w:ascii="锐字云字库小标宋体1.0" w:hAnsi="锐字云字库小标宋体1.0" w:eastAsia="锐字云字库小标宋体1.0" w:cs="锐字云字库小标宋体1.0"/>
          <w:b/>
          <w:bCs/>
          <w:color w:val="FF0000"/>
          <w:sz w:val="72"/>
          <w:szCs w:val="72"/>
        </w:rPr>
        <mc:AlternateContent>
          <mc:Choice Requires="wps">
            <w:drawing>
              <wp:anchor distT="0" distB="0" distL="114300" distR="114300" simplePos="0" relativeHeight="251675648" behindDoc="0" locked="0" layoutInCell="1" allowOverlap="1">
                <wp:simplePos x="0" y="0"/>
                <wp:positionH relativeFrom="column">
                  <wp:posOffset>-234315</wp:posOffset>
                </wp:positionH>
                <wp:positionV relativeFrom="paragraph">
                  <wp:posOffset>530225</wp:posOffset>
                </wp:positionV>
                <wp:extent cx="5848350" cy="9525"/>
                <wp:effectExtent l="0" t="0" r="0" b="0"/>
                <wp:wrapNone/>
                <wp:docPr id="1" name="Line 2"/>
                <wp:cNvGraphicFramePr/>
                <a:graphic xmlns:a="http://schemas.openxmlformats.org/drawingml/2006/main">
                  <a:graphicData uri="http://schemas.microsoft.com/office/word/2010/wordprocessingShape">
                    <wps:wsp>
                      <wps:cNvCnPr/>
                      <wps:spPr>
                        <a:xfrm>
                          <a:off x="0" y="0"/>
                          <a:ext cx="5848350" cy="952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8.45pt;margin-top:41.75pt;height:0.75pt;width:460.5pt;z-index:251675648;mso-width-relative:page;mso-height-relative:page;" filled="f" stroked="t" coordsize="21600,21600" o:gfxdata="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CBclM2QAAAAkBAAAPAAAAAAAAAAEAIAAAACIAAABkcnMvZG93&#10;bnJldi54bWxQSwECFAAUAAAACACHTuJAXMb0tMYBAACPAwAADgAAAAAAAAABACAAAAAoAQAAZHJz&#10;L2Uyb0RvYy54bWxQSwUGAAAAAAYABgBZAQAAYAUAAAAA&#10;">
                <v:fill on="f" focussize="0,0"/>
                <v:stroke weight="2.25pt" color="#FF0000" joinstyle="round"/>
                <v:imagedata o:title=""/>
                <o:lock v:ext="edit" aspectratio="f"/>
              </v:line>
            </w:pict>
          </mc:Fallback>
        </mc:AlternateContent>
      </w:r>
      <w:r>
        <w:rPr>
          <w:rFonts w:hint="eastAsia" w:ascii="宋体" w:hAnsi="宋体" w:eastAsia="宋体" w:cs="宋体"/>
          <w:b/>
          <w:bCs/>
          <w:color w:val="FF0000"/>
          <w:kern w:val="0"/>
          <w:sz w:val="72"/>
          <w:szCs w:val="72"/>
          <w:lang w:val="en-US" w:eastAsia="zh-CN" w:bidi="ar"/>
        </w:rPr>
        <w:t>备考教学策略研讨会</w:t>
      </w:r>
    </w:p>
    <w:p>
      <w:pPr>
        <w:keepNext w:val="0"/>
        <w:keepLines w:val="0"/>
        <w:widowControl/>
        <w:suppressLineNumbers w:val="0"/>
        <w:ind w:left="718" w:leftChars="342" w:firstLine="1200" w:firstLineChars="500"/>
        <w:jc w:val="left"/>
        <w:rPr>
          <w:rFonts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各高中学校、高三教师：</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2018年的高考，将是全国新高考落实的第一年，面对考试改革的要求，面对考试大纲的调整，面对学生发展核心素养，面对新时期人才选拔，面对各学科试题结构和分值的新变化，为了切实提升学生的备考能力，改善高三教师的备考教学策略，由中国人生科学学会学生发展指导专委会主办的“2018新高考背景下备考教学策略研讨会”将在深圳如期举办。</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本次活动，立足高三教学知识体系和过程方法的完整构建，理解“一体四层四翼”命题指导思想，体会“立德树人、服务选拔、导向教学”的立场，探讨考试大纲的指导价值与命题原则，使高三教学在学科素养发展中快速的提高进一步学习所必需的知识与能力，培养应用知识解决问题的能力和创新思维能力，增加教师和学生对高考选拔功能的适应性，有效彰显教学与学习，研究备考策略，克服教学中的题海战术和死记硬背。围绕各学科的“必备知识、关键能力、学科素养、核心价值”四层级的考查目标，落实“基础性、综合性、应用性、创新性”四个方面在教学中的可操作性，让高三师生有效的提高学习质量和生活质量。</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本次研讨旨在帮助广大高三教师把脉2018年高考，明晰全国卷命题特点，破解复习难点，指导其找到有效提升的方法和途径。届时，组委会将安排参会代表到深圳中学、香港胡陈金枝中学进行实地参观考察。此次活动，将为高三备考提供交流与研讨。具体事宜如下：</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主办单位</w:t>
      </w:r>
      <w:r>
        <w:rPr>
          <w:rFonts w:hint="eastAsia" w:ascii="新宋体" w:hAnsi="新宋体" w:eastAsia="新宋体" w:cs="新宋体"/>
          <w:b w:val="0"/>
          <w:bCs w:val="0"/>
          <w:sz w:val="24"/>
          <w:szCs w:val="24"/>
          <w:lang w:val="en-US" w:eastAsia="zh-CN"/>
        </w:rPr>
        <w:t>：中国人生科学学会学生发展指导专委会</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承办单位</w:t>
      </w:r>
      <w:r>
        <w:rPr>
          <w:rFonts w:hint="eastAsia" w:ascii="新宋体" w:hAnsi="新宋体" w:eastAsia="新宋体" w:cs="新宋体"/>
          <w:b w:val="0"/>
          <w:bCs w:val="0"/>
          <w:sz w:val="24"/>
          <w:szCs w:val="24"/>
          <w:lang w:val="en-US" w:eastAsia="zh-CN"/>
        </w:rPr>
        <w:t>：北京成长智慧教育科技有限公司</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一、会议时间与地点</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会议时间：2018年</w:t>
      </w:r>
      <w:r>
        <w:rPr>
          <w:rFonts w:hint="default" w:ascii="新宋体" w:hAnsi="新宋体" w:eastAsia="新宋体" w:cs="新宋体"/>
          <w:b w:val="0"/>
          <w:bCs w:val="0"/>
          <w:sz w:val="24"/>
          <w:szCs w:val="24"/>
          <w:lang w:val="en-US" w:eastAsia="zh-CN"/>
        </w:rPr>
        <w:t>1</w:t>
      </w:r>
      <w:r>
        <w:rPr>
          <w:rFonts w:hint="eastAsia" w:ascii="新宋体" w:hAnsi="新宋体" w:eastAsia="新宋体" w:cs="新宋体"/>
          <w:b w:val="0"/>
          <w:bCs w:val="0"/>
          <w:sz w:val="24"/>
          <w:szCs w:val="24"/>
          <w:lang w:val="en-US" w:eastAsia="zh-CN"/>
        </w:rPr>
        <w:t>月</w:t>
      </w:r>
      <w:r>
        <w:rPr>
          <w:rFonts w:hint="default" w:ascii="新宋体" w:hAnsi="新宋体" w:eastAsia="新宋体" w:cs="新宋体"/>
          <w:b w:val="0"/>
          <w:bCs w:val="0"/>
          <w:sz w:val="24"/>
          <w:szCs w:val="24"/>
          <w:lang w:val="en-US" w:eastAsia="zh-CN"/>
        </w:rPr>
        <w:t>1</w:t>
      </w:r>
      <w:r>
        <w:rPr>
          <w:rFonts w:hint="eastAsia" w:ascii="新宋体" w:hAnsi="新宋体" w:eastAsia="新宋体" w:cs="新宋体"/>
          <w:b w:val="0"/>
          <w:bCs w:val="0"/>
          <w:sz w:val="24"/>
          <w:szCs w:val="24"/>
          <w:lang w:val="en-US" w:eastAsia="zh-CN"/>
        </w:rPr>
        <w:t>2日—16日；</w:t>
      </w:r>
      <w:r>
        <w:rPr>
          <w:rFonts w:hint="default" w:ascii="新宋体" w:hAnsi="新宋体" w:eastAsia="新宋体" w:cs="新宋体"/>
          <w:b w:val="0"/>
          <w:bCs w:val="0"/>
          <w:sz w:val="24"/>
          <w:szCs w:val="24"/>
          <w:lang w:val="en-US" w:eastAsia="zh-CN"/>
        </w:rPr>
        <w:t>11</w:t>
      </w:r>
      <w:r>
        <w:rPr>
          <w:rFonts w:hint="eastAsia" w:ascii="新宋体" w:hAnsi="新宋体" w:eastAsia="新宋体" w:cs="新宋体"/>
          <w:b w:val="0"/>
          <w:bCs w:val="0"/>
          <w:sz w:val="24"/>
          <w:szCs w:val="24"/>
          <w:lang w:val="en-US" w:eastAsia="zh-CN"/>
        </w:rPr>
        <w:t>月</w:t>
      </w:r>
      <w:r>
        <w:rPr>
          <w:rFonts w:hint="default" w:ascii="新宋体" w:hAnsi="新宋体" w:eastAsia="新宋体" w:cs="新宋体"/>
          <w:b w:val="0"/>
          <w:bCs w:val="0"/>
          <w:sz w:val="24"/>
          <w:szCs w:val="24"/>
          <w:lang w:val="en-US" w:eastAsia="zh-CN"/>
        </w:rPr>
        <w:t>1</w:t>
      </w:r>
      <w:r>
        <w:rPr>
          <w:rFonts w:hint="eastAsia" w:ascii="新宋体" w:hAnsi="新宋体" w:eastAsia="新宋体" w:cs="新宋体"/>
          <w:b w:val="0"/>
          <w:bCs w:val="0"/>
          <w:sz w:val="24"/>
          <w:szCs w:val="24"/>
          <w:lang w:val="en-US" w:eastAsia="zh-CN"/>
        </w:rPr>
        <w:t>1日全天报到。</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会议地点：</w:t>
      </w:r>
      <w:r>
        <w:rPr>
          <w:rFonts w:hint="eastAsia" w:ascii="新宋体" w:hAnsi="新宋体" w:eastAsia="新宋体" w:cs="新宋体"/>
          <w:b/>
          <w:bCs/>
          <w:sz w:val="24"/>
          <w:szCs w:val="24"/>
          <w:lang w:val="en-US" w:eastAsia="zh-CN"/>
        </w:rPr>
        <w:t>深圳</w:t>
      </w:r>
    </w:p>
    <w:p>
      <w:pPr>
        <w:spacing w:line="380" w:lineRule="exact"/>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二、会议主题</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2018高考备考教学策略研讨会</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val="0"/>
          <w:bCs w:val="0"/>
          <w:sz w:val="24"/>
          <w:szCs w:val="24"/>
          <w:lang w:val="en-US" w:eastAsia="zh-CN"/>
        </w:rPr>
        <w:t>三、</w:t>
      </w:r>
      <w:r>
        <w:rPr>
          <w:rFonts w:hint="eastAsia" w:ascii="新宋体" w:hAnsi="新宋体" w:eastAsia="新宋体" w:cs="新宋体"/>
          <w:b/>
          <w:bCs/>
          <w:sz w:val="24"/>
          <w:szCs w:val="24"/>
          <w:lang w:val="en-US" w:eastAsia="zh-CN"/>
        </w:rPr>
        <w:t>研讨主要内容</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1、新高考制度下高中教学遇到的挑战及应对之策的思考；</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2、新高考改革模式下的师生自主发展；</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3、考试说明解读及应对策略；</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4、高中选考分析及备考复习建议；</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5、尖子生培养策略与方法；</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6、文综（历史、政治、地理) 、 理综（物理、化学、生物）命题趋势与备考方略 </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7、语文、数学命题趋势与备考方略</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四、邀请专家与领导（拟定）</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戴家干</w:t>
      </w:r>
      <w:r>
        <w:rPr>
          <w:rFonts w:hint="eastAsia" w:ascii="新宋体" w:hAnsi="新宋体" w:eastAsia="新宋体" w:cs="新宋体"/>
          <w:b w:val="0"/>
          <w:bCs w:val="0"/>
          <w:sz w:val="24"/>
          <w:szCs w:val="24"/>
          <w:lang w:val="en-US" w:eastAsia="zh-CN"/>
        </w:rPr>
        <w:t>： 现任国家督学、教育部考试中心(自考办)主任</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中国教育学会第八次会员代表大会常务副会长</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郭建民：</w:t>
      </w:r>
      <w:r>
        <w:rPr>
          <w:rFonts w:hint="eastAsia" w:ascii="新宋体" w:hAnsi="新宋体" w:eastAsia="新宋体" w:cs="新宋体"/>
          <w:b w:val="0"/>
          <w:bCs w:val="0"/>
          <w:sz w:val="24"/>
          <w:szCs w:val="24"/>
          <w:lang w:val="en-US" w:eastAsia="zh-CN"/>
        </w:rPr>
        <w:t xml:space="preserve"> 哈师大附中特级教师，著名高考志愿专家，高考指导专家，在高考学习方法、心理调试、填报志愿方面发表文章200多篇。多次参与国家高考试题评价工作。 </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沈宪章:</w:t>
      </w:r>
      <w:r>
        <w:rPr>
          <w:rFonts w:hint="eastAsia" w:ascii="新宋体" w:hAnsi="新宋体" w:eastAsia="新宋体" w:cs="新宋体"/>
          <w:b w:val="0"/>
          <w:bCs w:val="0"/>
          <w:sz w:val="24"/>
          <w:szCs w:val="24"/>
          <w:lang w:val="en-US" w:eastAsia="zh-CN"/>
        </w:rPr>
        <w:t xml:space="preserve">北京人大附中副校长，全国高考研究权威专家、语文特级教师、多次参与高考试题评价工作。 </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孙  敏：</w:t>
      </w:r>
      <w:r>
        <w:rPr>
          <w:rFonts w:hint="eastAsia" w:ascii="新宋体" w:hAnsi="新宋体" w:eastAsia="新宋体" w:cs="新宋体"/>
          <w:b w:val="0"/>
          <w:bCs w:val="0"/>
          <w:sz w:val="24"/>
          <w:szCs w:val="24"/>
          <w:lang w:val="en-US" w:eastAsia="zh-CN"/>
        </w:rPr>
        <w:t xml:space="preserve">化学特级教师，北京师大二附中教务主任，高考命题研究专家，多次参与高考试题评价工作。 </w:t>
      </w:r>
    </w:p>
    <w:p>
      <w:pPr>
        <w:spacing w:line="380" w:lineRule="exact"/>
        <w:ind w:firstLine="482"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bCs/>
          <w:sz w:val="24"/>
          <w:szCs w:val="24"/>
          <w:lang w:val="en-US" w:eastAsia="zh-CN"/>
        </w:rPr>
        <w:t>雷晓丽：</w:t>
      </w:r>
      <w:r>
        <w:rPr>
          <w:rFonts w:hint="eastAsia" w:ascii="新宋体" w:hAnsi="新宋体" w:eastAsia="新宋体" w:cs="新宋体"/>
          <w:b w:val="0"/>
          <w:bCs w:val="0"/>
          <w:sz w:val="24"/>
          <w:szCs w:val="24"/>
          <w:lang w:val="en-US" w:eastAsia="zh-CN"/>
        </w:rPr>
        <w:t>北京五中数学高级教师、北京市东城区教研中心教研员、《中学数学教学参考》特约编辑，一直致力于自主招生研究工作，对自主招生考试数学试题出题规律和解题有深入的研究，曾连续多年参与教育部考试中心试题评价工作。</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五、培训对象 </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高中教学校长、教研主任、备课组长、高三骨干教师</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教育局相关领导</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六、会议缴费</w:t>
      </w:r>
    </w:p>
    <w:p>
      <w:pPr>
        <w:spacing w:line="380" w:lineRule="exact"/>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1、培训费980元/人（包括：学习费、专家费、场地费、会议茶歇、水果）。</w:t>
      </w:r>
    </w:p>
    <w:p>
      <w:pPr>
        <w:spacing w:line="380" w:lineRule="exact"/>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2、深圳开会期间食宿费用自理，协助安排宾馆，标准320——360元/人/天。</w:t>
      </w:r>
    </w:p>
    <w:p>
      <w:pPr>
        <w:spacing w:line="380" w:lineRule="exact"/>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3、参加香港、澳门考察的代表培训费用为1380/人元(包括：学习费、专家费、场地费、会议茶歇、水果、香港澳门考察期间交通食宿费)。</w:t>
      </w:r>
    </w:p>
    <w:p>
      <w:pPr>
        <w:spacing w:line="380" w:lineRule="exact"/>
        <w:rPr>
          <w:rFonts w:hint="eastAsia" w:ascii="新宋体" w:hAnsi="新宋体" w:eastAsia="新宋体" w:cs="新宋体"/>
          <w:b w:val="0"/>
          <w:bCs w:val="0"/>
          <w:sz w:val="24"/>
          <w:szCs w:val="24"/>
          <w:lang w:val="en-US" w:eastAsia="zh-CN"/>
        </w:rPr>
      </w:pPr>
      <w:bookmarkStart w:id="0" w:name="_GoBack"/>
      <w:bookmarkEnd w:id="0"/>
      <w:r>
        <w:rPr>
          <w:rFonts w:hint="eastAsia" w:ascii="新宋体" w:hAnsi="新宋体" w:eastAsia="新宋体" w:cs="新宋体"/>
          <w:b/>
          <w:bCs/>
          <w:sz w:val="24"/>
          <w:szCs w:val="24"/>
          <w:lang w:val="en-US" w:eastAsia="zh-CN"/>
        </w:rPr>
        <w:t>七、学术考察：</w:t>
      </w:r>
      <w:r>
        <w:rPr>
          <w:rFonts w:hint="eastAsia" w:ascii="新宋体" w:hAnsi="新宋体" w:eastAsia="新宋体" w:cs="新宋体"/>
          <w:b w:val="0"/>
          <w:bCs w:val="0"/>
          <w:sz w:val="24"/>
          <w:szCs w:val="24"/>
          <w:lang w:val="en-US" w:eastAsia="zh-CN"/>
        </w:rPr>
        <w:t xml:space="preserve"> 培训期间，组委会将安排参会代表到深圳中学、香港胡陈金枝中学进行实地参观考察。 参与学员必须提前办理港澳通行证，17日于珠海返程。</w:t>
      </w:r>
    </w:p>
    <w:p>
      <w:pPr>
        <w:spacing w:line="380" w:lineRule="exact"/>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八、报名电话</w:t>
      </w:r>
    </w:p>
    <w:p>
      <w:pPr>
        <w:spacing w:line="380" w:lineRule="exact"/>
        <w:ind w:firstLine="481"/>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联系人：李老师   电  话：010-61354811   15810469859</w:t>
      </w:r>
    </w:p>
    <w:p>
      <w:pPr>
        <w:spacing w:line="380" w:lineRule="exact"/>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邮  箱：</w:t>
      </w:r>
      <w:r>
        <w:rPr>
          <w:rFonts w:hint="eastAsia" w:ascii="新宋体" w:hAnsi="新宋体" w:eastAsia="新宋体" w:cs="新宋体"/>
          <w:b w:val="0"/>
          <w:bCs w:val="0"/>
          <w:sz w:val="24"/>
          <w:szCs w:val="24"/>
          <w:lang w:val="en-US" w:eastAsia="zh-CN"/>
        </w:rPr>
        <w:fldChar w:fldCharType="begin"/>
      </w:r>
      <w:r>
        <w:rPr>
          <w:rFonts w:hint="eastAsia" w:ascii="新宋体" w:hAnsi="新宋体" w:eastAsia="新宋体" w:cs="新宋体"/>
          <w:b w:val="0"/>
          <w:bCs w:val="0"/>
          <w:sz w:val="24"/>
          <w:szCs w:val="24"/>
          <w:lang w:val="en-US" w:eastAsia="zh-CN"/>
        </w:rPr>
        <w:instrText xml:space="preserve"> HYPERLINK "mailto:nyltlihai@126.com" </w:instrText>
      </w:r>
      <w:r>
        <w:rPr>
          <w:rFonts w:hint="eastAsia" w:ascii="新宋体" w:hAnsi="新宋体" w:eastAsia="新宋体" w:cs="新宋体"/>
          <w:b w:val="0"/>
          <w:bCs w:val="0"/>
          <w:sz w:val="24"/>
          <w:szCs w:val="24"/>
          <w:lang w:val="en-US" w:eastAsia="zh-CN"/>
        </w:rPr>
        <w:fldChar w:fldCharType="separate"/>
      </w:r>
      <w:r>
        <w:rPr>
          <w:rFonts w:hint="eastAsia" w:ascii="新宋体" w:hAnsi="新宋体" w:eastAsia="新宋体" w:cs="新宋体"/>
          <w:b w:val="0"/>
          <w:bCs w:val="0"/>
          <w:sz w:val="24"/>
          <w:szCs w:val="24"/>
          <w:lang w:val="en-US" w:eastAsia="zh-CN"/>
        </w:rPr>
        <w:t>nyltlihai@126.com</w:t>
      </w:r>
      <w:r>
        <w:rPr>
          <w:rFonts w:hint="eastAsia" w:ascii="新宋体" w:hAnsi="新宋体" w:eastAsia="新宋体" w:cs="新宋体"/>
          <w:b w:val="0"/>
          <w:bCs w:val="0"/>
          <w:sz w:val="24"/>
          <w:szCs w:val="24"/>
          <w:lang w:val="en-US" w:eastAsia="zh-CN"/>
        </w:rPr>
        <w:fldChar w:fldCharType="end"/>
      </w:r>
      <w:r>
        <w:rPr>
          <w:rFonts w:hint="eastAsia" w:ascii="新宋体" w:hAnsi="新宋体" w:eastAsia="新宋体" w:cs="新宋体"/>
          <w:b w:val="0"/>
          <w:bCs w:val="0"/>
          <w:sz w:val="24"/>
          <w:szCs w:val="24"/>
          <w:lang w:val="en-US" w:eastAsia="zh-CN"/>
        </w:rPr>
        <w:t xml:space="preserve">  网  址：http://www.zgxxsygh.com（下载报名表）</w:t>
      </w:r>
    </w:p>
    <w:p>
      <w:pPr>
        <w:spacing w:line="380" w:lineRule="exact"/>
        <w:ind w:firstLine="480" w:firstLineChars="200"/>
        <w:rPr>
          <w:rFonts w:hint="eastAsia" w:ascii="新宋体" w:hAnsi="新宋体" w:eastAsia="新宋体" w:cs="新宋体"/>
          <w:b w:val="0"/>
          <w:bCs w:val="0"/>
          <w:sz w:val="24"/>
          <w:szCs w:val="24"/>
          <w:lang w:val="en-US" w:eastAsia="zh-CN"/>
        </w:rPr>
      </w:pPr>
    </w:p>
    <w:p>
      <w:pPr>
        <w:spacing w:line="380" w:lineRule="exact"/>
        <w:ind w:firstLine="3120" w:firstLineChars="13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中国人生科学学会           </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学生发展指导专业会          </w:t>
      </w:r>
    </w:p>
    <w:p>
      <w:pPr>
        <w:spacing w:line="380" w:lineRule="exact"/>
        <w:ind w:firstLine="480" w:firstLineChars="200"/>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 xml:space="preserve">                        2017年12月1日</w:t>
      </w:r>
    </w:p>
    <w:p>
      <w:pPr>
        <w:spacing w:line="380" w:lineRule="exact"/>
        <w:ind w:firstLine="480" w:firstLineChars="200"/>
        <w:rPr>
          <w:rFonts w:hint="eastAsia" w:ascii="新宋体" w:hAnsi="新宋体" w:eastAsia="新宋体" w:cs="新宋体"/>
          <w:b w:val="0"/>
          <w:bCs w:val="0"/>
          <w:sz w:val="24"/>
          <w:szCs w:val="24"/>
          <w:lang w:val="en-US" w:eastAsia="zh-CN"/>
        </w:rPr>
      </w:pPr>
    </w:p>
    <w:p>
      <w:pPr>
        <w:spacing w:line="380" w:lineRule="exact"/>
        <w:ind w:firstLine="480" w:firstLineChars="200"/>
        <w:rPr>
          <w:rFonts w:hint="eastAsia" w:ascii="新宋体" w:hAnsi="新宋体" w:eastAsia="新宋体" w:cs="新宋体"/>
          <w:b w:val="0"/>
          <w:bCs w:val="0"/>
          <w:sz w:val="24"/>
          <w:szCs w:val="24"/>
          <w:lang w:val="en-US" w:eastAsia="zh-CN"/>
        </w:rPr>
      </w:pPr>
    </w:p>
    <w:p>
      <w:pPr>
        <w:spacing w:line="380" w:lineRule="exact"/>
        <w:ind w:firstLine="1687" w:firstLineChars="600"/>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2018新高考背景下备考教学策略研讨会报名表</w:t>
      </w:r>
    </w:p>
    <w:p>
      <w:pPr>
        <w:spacing w:line="380" w:lineRule="exact"/>
        <w:ind w:firstLine="480" w:firstLineChars="200"/>
        <w:rPr>
          <w:rFonts w:hint="eastAsia" w:ascii="新宋体" w:hAnsi="新宋体" w:eastAsia="新宋体" w:cs="新宋体"/>
          <w:b w:val="0"/>
          <w:bCs w:val="0"/>
          <w:sz w:val="24"/>
          <w:szCs w:val="24"/>
          <w:lang w:val="en-US" w:eastAsia="zh-CN"/>
        </w:rPr>
      </w:pPr>
    </w:p>
    <w:tbl>
      <w:tblPr>
        <w:tblStyle w:val="6"/>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地址</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邮编</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225" w:type="dxa"/>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vAlign w:val="center"/>
          </w:tcPr>
          <w:p>
            <w:pPr>
              <w:jc w:val="center"/>
              <w:rPr>
                <w:rFonts w:hint="eastAsia"/>
                <w:sz w:val="24"/>
                <w:szCs w:val="24"/>
              </w:rPr>
            </w:pPr>
            <w:r>
              <w:rPr>
                <w:rFonts w:hint="eastAsia"/>
                <w:sz w:val="24"/>
                <w:szCs w:val="24"/>
              </w:rPr>
              <w:t>QQ</w:t>
            </w:r>
          </w:p>
        </w:tc>
        <w:tc>
          <w:tcPr>
            <w:tcW w:w="203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675" w:type="dxa"/>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建议与</w:t>
            </w:r>
          </w:p>
          <w:p>
            <w:pPr>
              <w:jc w:val="center"/>
              <w:rPr>
                <w:rFonts w:hint="eastAsia"/>
                <w:sz w:val="24"/>
                <w:szCs w:val="24"/>
              </w:rPr>
            </w:pPr>
            <w:r>
              <w:rPr>
                <w:rFonts w:hint="eastAsia" w:ascii="仿宋_GB2312" w:hAnsi="仿宋_GB2312" w:eastAsia="仿宋_GB2312" w:cs="仿宋_GB2312"/>
                <w:sz w:val="24"/>
                <w:szCs w:val="24"/>
              </w:rPr>
              <w:t>征询</w:t>
            </w:r>
          </w:p>
        </w:tc>
        <w:tc>
          <w:tcPr>
            <w:tcW w:w="8715" w:type="dxa"/>
            <w:gridSpan w:val="7"/>
            <w:vAlign w:val="center"/>
          </w:tcPr>
          <w:p>
            <w:pPr>
              <w:rPr>
                <w:rFonts w:hint="eastAsia"/>
                <w:sz w:val="24"/>
                <w:szCs w:val="24"/>
              </w:rPr>
            </w:pPr>
            <w:r>
              <w:rPr>
                <w:rFonts w:hint="eastAsia" w:ascii="仿宋_GB2312" w:eastAsia="仿宋_GB2312" w:cs="仿宋_GB2312"/>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汇款方式</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lang w:val="en-US" w:eastAsia="zh-CN"/>
              </w:rPr>
              <w:t>开户银行：中国工商银行北京房山支行良乡分理处</w:t>
            </w:r>
            <w:r>
              <w:rPr>
                <w:rFonts w:hint="eastAsia" w:ascii="仿宋_GB2312" w:eastAsia="仿宋_GB2312" w:cs="仿宋_GB2312"/>
                <w:sz w:val="24"/>
                <w:lang w:val="en-US" w:eastAsia="zh-CN"/>
              </w:rPr>
              <w:br w:type="textWrapping"/>
            </w:r>
            <w:r>
              <w:rPr>
                <w:rFonts w:hint="eastAsia" w:ascii="仿宋_GB2312" w:eastAsia="仿宋_GB2312" w:cs="仿宋_GB2312"/>
                <w:sz w:val="24"/>
                <w:lang w:val="en-US" w:eastAsia="zh-CN"/>
              </w:rPr>
              <w:t>帐户名称：北京成长智慧教育科技有限公司  </w:t>
            </w:r>
            <w:r>
              <w:rPr>
                <w:rFonts w:hint="eastAsia" w:ascii="仿宋_GB2312" w:eastAsia="仿宋_GB2312" w:cs="仿宋_GB2312"/>
                <w:sz w:val="24"/>
                <w:lang w:val="en-US" w:eastAsia="zh-CN"/>
              </w:rPr>
              <w:br w:type="textWrapping"/>
            </w:r>
            <w:r>
              <w:rPr>
                <w:rFonts w:hint="eastAsia" w:ascii="仿宋_GB2312" w:eastAsia="仿宋_GB2312" w:cs="仿宋_GB2312"/>
                <w:sz w:val="24"/>
                <w:lang w:val="en-US" w:eastAsia="zh-CN"/>
              </w:rPr>
              <w:t>帐    号：0200 3169 0920 0012 149 </w:t>
            </w:r>
          </w:p>
          <w:p>
            <w:pPr>
              <w:rPr>
                <w:rFonts w:hint="eastAsia"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住宿要求</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深圳</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港澳考察</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确认</w:t>
            </w:r>
          </w:p>
        </w:tc>
        <w:tc>
          <w:tcPr>
            <w:tcW w:w="8715" w:type="dxa"/>
            <w:gridSpan w:val="7"/>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），共</w:t>
            </w:r>
            <w:r>
              <w:rPr>
                <w:rFonts w:ascii="仿宋_GB2312" w:eastAsia="仿宋_GB2312" w:cs="仿宋_GB2312"/>
                <w:sz w:val="24"/>
                <w:u w:val="single"/>
              </w:rPr>
              <w:t xml:space="preserve">     </w:t>
            </w:r>
            <w:r>
              <w:rPr>
                <w:rFonts w:hint="eastAsia" w:ascii="仿宋_GB2312" w:eastAsia="仿宋_GB2312" w:cs="仿宋_GB2312"/>
                <w:sz w:val="24"/>
                <w:u w:val="none"/>
                <w:lang w:eastAsia="zh-CN"/>
              </w:rPr>
              <w:t>人，姓名：</w:t>
            </w:r>
            <w:r>
              <w:rPr>
                <w:rFonts w:hint="eastAsia" w:ascii="仿宋_GB2312" w:eastAsia="仿宋_GB2312" w:cs="仿宋_GB2312"/>
                <w:sz w:val="24"/>
                <w:u w:val="single"/>
                <w:lang w:val="en-US" w:eastAsia="zh-CN"/>
              </w:rPr>
              <w:t xml:space="preserve">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否</w:t>
            </w:r>
            <w:r>
              <w:rPr>
                <w:rFonts w:hint="eastAsia" w:ascii="仿宋_GB2312" w:hAnsi="仿宋_GB2312" w:eastAsia="仿宋_GB2312" w:cs="仿宋_GB2312"/>
                <w:sz w:val="24"/>
                <w:szCs w:val="24"/>
                <w:lang w:val="en-US" w:eastAsia="zh-CN"/>
              </w:rPr>
              <w:t>（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注：请在（）打</w:t>
            </w:r>
            <w:r>
              <w:rPr>
                <w:rFonts w:hint="default" w:ascii="Arial" w:hAnsi="Arial" w:eastAsia="仿宋_GB2312" w:cs="Arial"/>
                <w:sz w:val="24"/>
                <w:szCs w:val="24"/>
                <w:lang w:val="en-US" w:eastAsia="zh-CN"/>
              </w:rPr>
              <w:t>√</w:t>
            </w:r>
            <w:r>
              <w:rPr>
                <w:rFonts w:hint="eastAsia" w:ascii="Arial" w:hAnsi="Arial" w:eastAsia="仿宋_GB2312" w:cs="Arial"/>
                <w:sz w:val="24"/>
                <w:szCs w:val="24"/>
                <w:lang w:val="en-US"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单位意见</w:t>
            </w:r>
          </w:p>
        </w:tc>
        <w:tc>
          <w:tcPr>
            <w:tcW w:w="8715" w:type="dxa"/>
            <w:gridSpan w:val="7"/>
            <w:vAlign w:val="center"/>
          </w:tcPr>
          <w:p>
            <w:pPr>
              <w:jc w:val="left"/>
              <w:rPr>
                <w:rFonts w:hint="eastAsia" w:ascii="仿宋_GB2312" w:eastAsia="仿宋_GB2312" w:cs="仿宋_GB2312"/>
                <w:sz w:val="24"/>
              </w:rPr>
            </w:pPr>
            <w:r>
              <w:rPr>
                <w:rFonts w:hint="eastAsia" w:ascii="仿宋_GB2312" w:hAnsi="仿宋_GB2312" w:eastAsia="仿宋_GB2312" w:cs="仿宋_GB2312"/>
                <w:szCs w:val="21"/>
              </w:rPr>
              <w:t xml:space="preserve">    </w:t>
            </w:r>
            <w:r>
              <w:rPr>
                <w:rFonts w:hint="eastAsia" w:ascii="仿宋_GB2312" w:eastAsia="仿宋_GB2312" w:cs="仿宋_GB2312"/>
                <w:sz w:val="24"/>
              </w:rPr>
              <w:t xml:space="preserve">我单位同意选派以上  位老师参加 </w:t>
            </w:r>
            <w:r>
              <w:rPr>
                <w:rFonts w:hint="eastAsia" w:ascii="仿宋_GB2312" w:eastAsia="仿宋_GB2312" w:cs="仿宋_GB2312"/>
                <w:sz w:val="24"/>
                <w:lang w:val="en-US" w:eastAsia="zh-CN"/>
              </w:rPr>
              <w:t>1</w:t>
            </w:r>
            <w:r>
              <w:rPr>
                <w:rFonts w:hint="eastAsia" w:ascii="仿宋_GB2312" w:eastAsia="仿宋_GB2312" w:cs="仿宋_GB2312"/>
                <w:sz w:val="24"/>
              </w:rPr>
              <w:t xml:space="preserve">  月  </w:t>
            </w:r>
            <w:r>
              <w:rPr>
                <w:rFonts w:hint="eastAsia" w:ascii="仿宋_GB2312" w:eastAsia="仿宋_GB2312" w:cs="仿宋_GB2312"/>
                <w:sz w:val="24"/>
                <w:lang w:val="en-US" w:eastAsia="zh-CN"/>
              </w:rPr>
              <w:t>12</w:t>
            </w:r>
            <w:r>
              <w:rPr>
                <w:rFonts w:hint="eastAsia" w:ascii="仿宋_GB2312" w:eastAsia="仿宋_GB2312" w:cs="仿宋_GB2312"/>
                <w:sz w:val="24"/>
              </w:rPr>
              <w:t xml:space="preserve"> 日  </w:t>
            </w:r>
            <w:r>
              <w:rPr>
                <w:rFonts w:hint="eastAsia" w:ascii="新宋体" w:hAnsi="新宋体" w:eastAsia="新宋体" w:cs="新宋体"/>
                <w:b w:val="0"/>
                <w:bCs w:val="0"/>
                <w:sz w:val="24"/>
                <w:szCs w:val="24"/>
                <w:lang w:val="en-US" w:eastAsia="zh-CN"/>
              </w:rPr>
              <w:t>2018新高考背景下备考教学策略研讨会</w:t>
            </w: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年   月   日     </w:t>
            </w:r>
            <w:r>
              <w:rPr>
                <w:rFonts w:hint="eastAsia"/>
                <w:szCs w:val="21"/>
              </w:rPr>
              <w:t xml:space="preserve">        </w:t>
            </w:r>
          </w:p>
        </w:tc>
      </w:tr>
    </w:tbl>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锐字云字库小标宋体1.0">
    <w:altName w:val="宋体"/>
    <w:panose1 w:val="02010604000000000000"/>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Hiragino Sans GB">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云字库大标宋体 1.0">
    <w:altName w:val="宋体"/>
    <w:panose1 w:val="02010604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锐字云字库粗黑体1.0">
    <w:altName w:val="黑体"/>
    <w:panose1 w:val="02010604000000000000"/>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C6F8A"/>
    <w:rsid w:val="06EA6D92"/>
    <w:rsid w:val="0B342757"/>
    <w:rsid w:val="0FA6546C"/>
    <w:rsid w:val="11355DA2"/>
    <w:rsid w:val="17027B23"/>
    <w:rsid w:val="194F2046"/>
    <w:rsid w:val="1EFF3F5F"/>
    <w:rsid w:val="28C20E68"/>
    <w:rsid w:val="293A00E9"/>
    <w:rsid w:val="355D7949"/>
    <w:rsid w:val="36A46A58"/>
    <w:rsid w:val="3A776436"/>
    <w:rsid w:val="3B047DCD"/>
    <w:rsid w:val="3F613E21"/>
    <w:rsid w:val="4FBE14BE"/>
    <w:rsid w:val="56402AF2"/>
    <w:rsid w:val="588E70D1"/>
    <w:rsid w:val="5D3B272F"/>
    <w:rsid w:val="64EE2BB1"/>
    <w:rsid w:val="6F8831EF"/>
    <w:rsid w:val="73E92387"/>
    <w:rsid w:val="77D00298"/>
    <w:rsid w:val="7BA75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泡沫</cp:lastModifiedBy>
  <dcterms:modified xsi:type="dcterms:W3CDTF">2017-12-04T07:11:31Z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