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eastAsia="宋体"/>
          <w:b/>
          <w:bCs/>
          <w:color w:val="FF0000"/>
          <w:sz w:val="72"/>
          <w:szCs w:val="72"/>
        </w:rPr>
      </w:pPr>
      <w:r>
        <w:rPr>
          <w:rFonts w:hint="eastAsia" w:eastAsia="宋体"/>
          <w:b/>
          <w:bCs/>
          <w:color w:val="FF0000"/>
          <w:sz w:val="72"/>
          <w:szCs w:val="72"/>
        </w:rPr>
        <w:t>中国人生科学学会</w:t>
      </w:r>
    </w:p>
    <w:p>
      <w:pPr>
        <w:jc w:val="distribute"/>
        <w:rPr>
          <w:rFonts w:eastAsia="宋体"/>
          <w:b/>
          <w:bCs/>
          <w:color w:val="FF0000"/>
          <w:sz w:val="72"/>
          <w:szCs w:val="72"/>
        </w:rPr>
      </w:pPr>
      <w:r>
        <w:rPr>
          <w:rFonts w:hint="eastAsia" w:eastAsia="宋体"/>
          <w:b/>
          <w:bCs/>
          <w:color w:val="FF0000"/>
          <w:sz w:val="72"/>
          <w:szCs w:val="72"/>
        </w:rPr>
        <w:t>学生发展指导专业委员会</w:t>
      </w:r>
    </w:p>
    <w:p>
      <w:pPr>
        <w:jc w:val="distribute"/>
        <w:rPr>
          <w:rFonts w:eastAsia="宋体"/>
          <w:b/>
          <w:bCs/>
          <w:color w:val="FF0000"/>
          <w:sz w:val="72"/>
          <w:szCs w:val="72"/>
        </w:rPr>
      </w:pPr>
      <w:r>
        <w:rPr>
          <w:rFonts w:eastAsia="宋体"/>
          <w:b/>
          <w:bCs/>
          <w:color w:val="FF0000"/>
          <w:sz w:val="72"/>
          <w:szCs w:val="72"/>
          <w:lang w:val="zh-CN"/>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586740</wp:posOffset>
                </wp:positionV>
                <wp:extent cx="5943600" cy="635"/>
                <wp:effectExtent l="0" t="0" r="0" b="0"/>
                <wp:wrapNone/>
                <wp:docPr id="1" name="Line 2"/>
                <wp:cNvGraphicFramePr/>
                <a:graphic xmlns:a="http://schemas.openxmlformats.org/drawingml/2006/main">
                  <a:graphicData uri="http://schemas.microsoft.com/office/word/2010/wordprocessingShape">
                    <wps:wsp>
                      <wps:cNvCnPr/>
                      <wps:spPr>
                        <a:xfrm>
                          <a:off x="0" y="0"/>
                          <a:ext cx="5943600"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0.2pt;margin-top:46.2pt;height:0.05pt;width:468pt;z-index:251660288;mso-width-relative:page;mso-height-relative:page;" filled="f" stroked="t" coordsize="21600,21600" o:gfxdata="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FO5TX1gAAAAcBAAAPAAAAAAAAAAEAIAAAACIAAABkcnMvZG93&#10;bnJldi54bWxQSwECFAAUAAAACACHTuJA6d1rDMkBAACcAwAADgAAAAAAAAABACAAAAAlAQAAZHJz&#10;L2Uyb0RvYy54bWxQSwUGAAAAAAYABgBZAQAAYAUAAAAA&#10;">
                <v:fill on="f" focussize="0,0"/>
                <v:stroke weight="2.25pt" color="#FF0000" joinstyle="round"/>
                <v:imagedata o:title=""/>
                <o:lock v:ext="edit" aspectratio="f"/>
              </v:line>
            </w:pict>
          </mc:Fallback>
        </mc:AlternateContent>
      </w:r>
      <w:r>
        <w:rPr>
          <w:rFonts w:hint="eastAsia" w:eastAsia="宋体"/>
          <w:b/>
          <w:bCs/>
          <w:color w:val="FF0000"/>
          <w:sz w:val="72"/>
          <w:szCs w:val="72"/>
        </w:rPr>
        <w:t>中国学校生涯规划教育网</w:t>
      </w:r>
    </w:p>
    <w:p>
      <w:pPr>
        <w:spacing w:beforeLines="50" w:afterLines="50"/>
        <w:jc w:val="distribute"/>
        <w:rPr>
          <w:b/>
          <w:bCs/>
          <w:sz w:val="32"/>
          <w:szCs w:val="32"/>
        </w:rPr>
      </w:pPr>
      <w:r>
        <w:rPr>
          <w:rFonts w:hint="eastAsia"/>
          <w:b/>
          <w:bCs/>
          <w:sz w:val="32"/>
          <w:szCs w:val="32"/>
        </w:rPr>
        <w:t>关于全国第四期“高考志愿咨询师”岗位能力培训通知</w:t>
      </w:r>
    </w:p>
    <w:p>
      <w:pPr>
        <w:pStyle w:val="7"/>
        <w:shd w:val="clear" w:color="auto" w:fill="FFFFFF"/>
        <w:snapToGrid w:val="0"/>
        <w:spacing w:before="0" w:beforeAutospacing="0" w:after="0" w:afterAutospacing="0"/>
        <w:rPr>
          <w:rFonts w:ascii="楷体_GB2312" w:hAnsi="楷体_GB2312" w:eastAsia="楷体_GB2312" w:cs="楷体_GB2312"/>
          <w:b/>
          <w:bCs/>
          <w:kern w:val="2"/>
          <w:sz w:val="28"/>
          <w:szCs w:val="28"/>
        </w:rPr>
      </w:pPr>
      <w:r>
        <w:rPr>
          <w:rFonts w:hint="eastAsia" w:ascii="楷体_GB2312" w:hAnsi="楷体_GB2312" w:eastAsia="楷体_GB2312" w:cs="楷体_GB2312"/>
          <w:b/>
          <w:bCs/>
          <w:kern w:val="2"/>
          <w:sz w:val="28"/>
          <w:szCs w:val="28"/>
        </w:rPr>
        <w:t>各地教育局、高中、职业学校：</w:t>
      </w:r>
    </w:p>
    <w:p>
      <w:pPr>
        <w:snapToGrid w:val="0"/>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高考改革进入深水区！2017年6月，中国高考改革试点浙江省已迎来高考新政以来的第一次正式高考！也意味着2017年将有18个省份将实行新的高考政策！至2020年全国的大部分高中学生将面临一大事-取消文理分科、3+X和高考科目选择和考试方式变革、合并录取批次等的重大高考方式化和高中学习方式变化！</w:t>
      </w:r>
    </w:p>
    <w:p>
      <w:pPr>
        <w:pStyle w:val="7"/>
        <w:snapToGrid w:val="0"/>
        <w:spacing w:before="156" w:after="156"/>
        <w:ind w:firstLine="560" w:firstLineChars="200"/>
        <w:jc w:val="both"/>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新的高考政策意味着，从高一开始，学生就要确定自己大专业方向和高中选学选考科目！实行“6选 3 或7选3”的课程选择和“选课制、走班制”等的新的学习内容和形式，而作为重中之重选课的依据将根据学生的学科特长、高考目标专业、人生发展目标等的专业测评数据和内容来确定，而这需要建立在对学生进行专业的生涯教育和成长指导的基础上进行！ </w:t>
      </w:r>
    </w:p>
    <w:p>
      <w:pPr>
        <w:pStyle w:val="7"/>
        <w:snapToGrid w:val="0"/>
        <w:spacing w:before="156" w:after="156"/>
        <w:ind w:firstLine="560" w:firstLineChars="200"/>
        <w:jc w:val="both"/>
        <w:rPr>
          <w:rFonts w:ascii="楷体_GB2312" w:hAnsi="楷体_GB2312" w:eastAsia="楷体_GB2312" w:cs="楷体_GB2312"/>
          <w:sz w:val="28"/>
          <w:szCs w:val="28"/>
        </w:rPr>
      </w:pPr>
      <w:r>
        <w:rPr>
          <w:rFonts w:ascii="楷体_GB2312" w:hAnsi="楷体_GB2312" w:eastAsia="楷体_GB2312" w:cs="楷体_GB2312"/>
          <w:sz w:val="28"/>
          <w:szCs w:val="28"/>
        </w:rPr>
        <w:t>新的政策变化意味着“每个学生都需要个性化的发展指导</w:t>
      </w:r>
      <w:r>
        <w:rPr>
          <w:rFonts w:hint="eastAsia" w:ascii="楷体_GB2312" w:hAnsi="楷体_GB2312" w:eastAsia="楷体_GB2312" w:cs="楷体_GB2312"/>
          <w:sz w:val="28"/>
          <w:szCs w:val="28"/>
        </w:rPr>
        <w:t>”，由具备专业指导能力的学生导师引导学生去更多地了解自己、关注社会，科学地规划自己的学业和发展方向</w:t>
      </w:r>
      <w:r>
        <w:rPr>
          <w:rFonts w:ascii="楷体_GB2312" w:hAnsi="楷体_GB2312" w:eastAsia="楷体_GB2312" w:cs="楷体_GB2312"/>
          <w:sz w:val="28"/>
          <w:szCs w:val="28"/>
        </w:rPr>
        <w:t>。</w:t>
      </w:r>
      <w:r>
        <w:rPr>
          <w:rFonts w:hint="eastAsia" w:ascii="楷体_GB2312" w:hAnsi="楷体_GB2312" w:eastAsia="楷体_GB2312" w:cs="楷体_GB2312"/>
          <w:sz w:val="28"/>
          <w:szCs w:val="28"/>
        </w:rPr>
        <w:t>学生发展指导能力将成为初高中阶段教师教育教学的重要核心素养之一！</w:t>
      </w:r>
      <w:r>
        <w:rPr>
          <w:rFonts w:ascii="楷体_GB2312" w:hAnsi="楷体_GB2312" w:eastAsia="楷体_GB2312" w:cs="楷体_GB2312"/>
          <w:sz w:val="28"/>
          <w:szCs w:val="28"/>
        </w:rPr>
        <w:t>以高考</w:t>
      </w:r>
      <w:r>
        <w:rPr>
          <w:rFonts w:hint="eastAsia" w:ascii="楷体_GB2312" w:hAnsi="楷体_GB2312" w:eastAsia="楷体_GB2312" w:cs="楷体_GB2312"/>
          <w:sz w:val="28"/>
          <w:szCs w:val="28"/>
        </w:rPr>
        <w:t>志愿填报</w:t>
      </w:r>
      <w:r>
        <w:rPr>
          <w:rFonts w:ascii="楷体_GB2312" w:hAnsi="楷体_GB2312" w:eastAsia="楷体_GB2312" w:cs="楷体_GB2312"/>
          <w:sz w:val="28"/>
          <w:szCs w:val="28"/>
        </w:rPr>
        <w:t>为核心</w:t>
      </w:r>
      <w:r>
        <w:rPr>
          <w:rFonts w:hint="eastAsia" w:ascii="楷体_GB2312" w:hAnsi="楷体_GB2312" w:eastAsia="楷体_GB2312" w:cs="楷体_GB2312"/>
          <w:sz w:val="28"/>
          <w:szCs w:val="28"/>
        </w:rPr>
        <w:t>的学生发展指导导师将成</w:t>
      </w:r>
      <w:r>
        <w:rPr>
          <w:rFonts w:hint="eastAsia" w:ascii="楷体_GB2312" w:hAnsi="楷体_GB2312" w:eastAsia="楷体_GB2312" w:cs="楷体_GB2312"/>
          <w:sz w:val="28"/>
          <w:szCs w:val="28"/>
          <w:lang w:eastAsia="zh-CN"/>
        </w:rPr>
        <w:t>为</w:t>
      </w:r>
      <w:r>
        <w:rPr>
          <w:rFonts w:hint="eastAsia" w:ascii="楷体_GB2312" w:hAnsi="楷体_GB2312" w:eastAsia="楷体_GB2312" w:cs="楷体_GB2312"/>
          <w:sz w:val="28"/>
          <w:szCs w:val="28"/>
        </w:rPr>
        <w:t>高中学校的教育功能标配！而从中国目前的高中教育实际情况看，无论从专业的成长导师还是测评工具</w:t>
      </w:r>
      <w:r>
        <w:rPr>
          <w:rFonts w:hint="eastAsia" w:ascii="楷体_GB2312" w:hAnsi="楷体_GB2312" w:eastAsia="楷体_GB2312" w:cs="楷体_GB2312"/>
          <w:sz w:val="28"/>
          <w:szCs w:val="28"/>
          <w:lang w:eastAsia="zh-CN"/>
        </w:rPr>
        <w:t>与</w:t>
      </w:r>
      <w:r>
        <w:rPr>
          <w:rFonts w:hint="eastAsia" w:ascii="楷体_GB2312" w:hAnsi="楷体_GB2312" w:eastAsia="楷体_GB2312" w:cs="楷体_GB2312"/>
          <w:sz w:val="28"/>
          <w:szCs w:val="28"/>
        </w:rPr>
        <w:t>课程都极为欠缺！严重制约了学生的发展指导水平！</w:t>
      </w:r>
    </w:p>
    <w:p>
      <w:pPr>
        <w:snapToGrid w:val="0"/>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为了帮助全国学校科学有效的指导学生填报高考志愿，帮助学校培养一批合格的高考志愿咨询师</w:t>
      </w:r>
      <w:r>
        <w:rPr>
          <w:rFonts w:hint="eastAsia" w:ascii="楷体_GB2312" w:hAnsi="楷体_GB2312" w:eastAsia="楷体_GB2312" w:cs="楷体_GB2312"/>
          <w:sz w:val="28"/>
          <w:szCs w:val="28"/>
          <w:lang w:eastAsia="zh-CN"/>
        </w:rPr>
        <w:t>队伍</w:t>
      </w:r>
      <w:r>
        <w:rPr>
          <w:rFonts w:hint="eastAsia" w:ascii="楷体_GB2312" w:hAnsi="楷体_GB2312" w:eastAsia="楷体_GB2312" w:cs="楷体_GB2312"/>
          <w:sz w:val="28"/>
          <w:szCs w:val="28"/>
        </w:rPr>
        <w:t>，中国人生科学学会学生发展指导专业委员会、全国</w:t>
      </w:r>
      <w:r>
        <w:rPr>
          <w:rFonts w:hint="eastAsia" w:ascii="楷体_GB2312" w:hAnsi="楷体_GB2312" w:eastAsia="楷体_GB2312" w:cs="楷体_GB2312"/>
          <w:b/>
          <w:bCs/>
          <w:sz w:val="28"/>
          <w:szCs w:val="28"/>
        </w:rPr>
        <w:t>高考志愿填报与学生未来发展研究总课题组</w:t>
      </w:r>
      <w:r>
        <w:rPr>
          <w:rFonts w:hint="eastAsia" w:ascii="楷体_GB2312" w:hAnsi="楷体_GB2312" w:eastAsia="楷体_GB2312" w:cs="楷体_GB2312"/>
          <w:sz w:val="28"/>
          <w:szCs w:val="28"/>
        </w:rPr>
        <w:t>、中国学校生涯规划教育网</w:t>
      </w:r>
      <w:r>
        <w:rPr>
          <w:rFonts w:hint="eastAsia" w:ascii="楷体_GB2312" w:hAnsi="楷体_GB2312" w:eastAsia="楷体_GB2312" w:cs="楷体_GB2312"/>
          <w:sz w:val="28"/>
          <w:szCs w:val="28"/>
          <w:lang w:eastAsia="zh-CN"/>
        </w:rPr>
        <w:t>于</w:t>
      </w:r>
      <w:r>
        <w:rPr>
          <w:rFonts w:hint="eastAsia" w:ascii="楷体_GB2312" w:hAnsi="楷体_GB2312" w:eastAsia="楷体_GB2312" w:cs="楷体_GB2312"/>
          <w:sz w:val="28"/>
          <w:szCs w:val="28"/>
          <w:lang w:val="en-US" w:eastAsia="zh-CN"/>
        </w:rPr>
        <w:t>2018年4月1</w:t>
      </w:r>
      <w:r>
        <w:rPr>
          <w:rFonts w:hint="default" w:ascii="楷体_GB2312" w:hAnsi="楷体_GB2312" w:eastAsia="楷体_GB2312" w:cs="楷体_GB2312"/>
          <w:sz w:val="28"/>
          <w:szCs w:val="28"/>
          <w:lang w:val="en-US" w:eastAsia="zh-CN"/>
        </w:rPr>
        <w:t>1</w:t>
      </w:r>
      <w:r>
        <w:rPr>
          <w:rFonts w:hint="eastAsia" w:ascii="楷体_GB2312" w:hAnsi="楷体_GB2312" w:eastAsia="楷体_GB2312" w:cs="楷体_GB2312"/>
          <w:sz w:val="28"/>
          <w:szCs w:val="28"/>
          <w:lang w:val="en-US" w:eastAsia="zh-CN"/>
        </w:rPr>
        <w:t>日—15日在北京</w:t>
      </w:r>
      <w:r>
        <w:rPr>
          <w:rFonts w:hint="eastAsia" w:ascii="楷体_GB2312" w:hAnsi="楷体_GB2312" w:eastAsia="楷体_GB2312" w:cs="楷体_GB2312"/>
          <w:sz w:val="28"/>
          <w:szCs w:val="28"/>
        </w:rPr>
        <w:t>联合召开第四期“全国高中高考志愿咨询师岗位能力培训班”，旨在为学校培养和建设专业的高考志愿咨询师队伍，提升学校高校录取质量和考生满意度。相关事宜如下：</w:t>
      </w:r>
    </w:p>
    <w:p>
      <w:pPr>
        <w:widowControl/>
        <w:rPr>
          <w:rStyle w:val="9"/>
          <w:szCs w:val="21"/>
        </w:rPr>
      </w:pPr>
    </w:p>
    <w:p>
      <w:pPr>
        <w:spacing w:line="380" w:lineRule="exact"/>
        <w:rPr>
          <w:rFonts w:ascii="楷体_GB2312" w:hAnsi="楷体_GB2312" w:eastAsia="楷体_GB2312" w:cs="楷体_GB2312"/>
          <w:b/>
          <w:bCs/>
          <w:sz w:val="28"/>
          <w:szCs w:val="28"/>
        </w:rPr>
      </w:pPr>
    </w:p>
    <w:p>
      <w:pPr>
        <w:spacing w:line="380" w:lineRule="exact"/>
        <w:rPr>
          <w:rFonts w:ascii="楷体_GB2312" w:hAnsi="楷体_GB2312" w:eastAsia="楷体_GB2312" w:cs="楷体_GB2312"/>
          <w:b/>
          <w:bCs/>
          <w:sz w:val="28"/>
          <w:szCs w:val="28"/>
        </w:rPr>
      </w:pP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 xml:space="preserve">主办单位：中国人生科学学会学生发展指导专业委员会    </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 xml:space="preserve">          中国学校生涯规划教育网</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支持单位：高考志愿填报与学生未来发展研究总课题组</w:t>
      </w:r>
    </w:p>
    <w:p>
      <w:pPr>
        <w:snapToGrid w:val="0"/>
        <w:ind w:firstLine="1405" w:firstLineChars="5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 xml:space="preserve">选未来智慧公众号 </w:t>
      </w:r>
      <w:r>
        <w:rPr>
          <w:rFonts w:hint="eastAsia" w:ascii="楷体_GB2312" w:hAnsi="楷体_GB2312" w:eastAsia="楷体_GB2312" w:cs="楷体_GB2312"/>
          <w:b/>
          <w:bCs/>
          <w:sz w:val="28"/>
          <w:szCs w:val="28"/>
          <w:lang w:val="en-US" w:eastAsia="zh-CN"/>
        </w:rPr>
        <w:t xml:space="preserve"> </w:t>
      </w:r>
      <w:r>
        <w:rPr>
          <w:rFonts w:hint="eastAsia" w:ascii="楷体" w:hAnsi="楷体" w:eastAsia="楷体"/>
          <w:b/>
          <w:bCs/>
          <w:sz w:val="28"/>
        </w:rPr>
        <w:t xml:space="preserve"> </w:t>
      </w:r>
      <w:r>
        <w:rPr>
          <w:rFonts w:ascii="楷体" w:hAnsi="楷体" w:eastAsia="楷体"/>
          <w:b/>
          <w:bCs/>
          <w:sz w:val="28"/>
        </w:rPr>
        <w:t>青岛卓越生涯教育科技有限公司</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 xml:space="preserve">承办单位：北京铭仕轩教育咨询中心 </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 xml:space="preserve"> 一、培训目标</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1、培养专家型高考志愿咨询辅导人才，以提供志愿规划咨询、填报指导等专业服务。</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2、在学生测评理论和规划的理论指导下，系统掌握高考政策和录取规则，了解全国高校和专业设置，掌握高考志愿填报的技术和高考数据的使用。</w:t>
      </w:r>
    </w:p>
    <w:p>
      <w:pPr>
        <w:spacing w:line="42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3、能有效运用测评</w:t>
      </w:r>
      <w:r>
        <w:rPr>
          <w:rFonts w:hint="eastAsia" w:ascii="楷体_GB2312" w:hAnsi="楷体_GB2312" w:eastAsia="楷体_GB2312" w:cs="楷体_GB2312"/>
          <w:sz w:val="28"/>
          <w:szCs w:val="28"/>
          <w:lang w:eastAsia="zh-CN"/>
        </w:rPr>
        <w:t>技术</w:t>
      </w:r>
      <w:r>
        <w:rPr>
          <w:rFonts w:hint="eastAsia" w:ascii="楷体_GB2312" w:hAnsi="楷体_GB2312" w:eastAsia="楷体_GB2312" w:cs="楷体_GB2312"/>
          <w:sz w:val="28"/>
          <w:szCs w:val="28"/>
        </w:rPr>
        <w:t>和高考志愿杠杆激发学生学习动力，以学生科学发展为目标指导学生的大学规划，提升高考成绩。</w:t>
      </w:r>
    </w:p>
    <w:p>
      <w:pPr>
        <w:snapToGrid w:val="0"/>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4、熟练使用CSCD－学生发展指导云工作平台</w:t>
      </w:r>
      <w:r>
        <w:rPr>
          <w:rFonts w:ascii="楷体_GB2312" w:hAnsi="楷体_GB2312" w:eastAsia="楷体_GB2312" w:cs="楷体_GB2312"/>
          <w:sz w:val="28"/>
          <w:szCs w:val="28"/>
        </w:rPr>
        <w:t>—</w:t>
      </w:r>
      <w:r>
        <w:rPr>
          <w:rFonts w:hint="eastAsia" w:ascii="楷体_GB2312" w:hAnsi="楷体_GB2312" w:eastAsia="楷体_GB2312" w:cs="楷体_GB2312"/>
          <w:sz w:val="28"/>
          <w:szCs w:val="28"/>
        </w:rPr>
        <w:t>帮助老师和学生进行高考志愿填报、高中阶段的3+X选科测评、大学专业目标定位测评、自主招生综合评估、学生生涯发展测评等，解决学生高中选课难、大学专业选择难、高考志愿填报。</w:t>
      </w:r>
    </w:p>
    <w:p>
      <w:pPr>
        <w:spacing w:line="42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特别提示：凡参会学校均可免费获得学生发展指导专业委员会提供的CSCD－学生职业倾向与大学专业选择测评服务！</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二、培训特色</w:t>
      </w:r>
    </w:p>
    <w:p>
      <w:pPr>
        <w:spacing w:line="380" w:lineRule="exact"/>
        <w:ind w:firstLine="562" w:firstLineChars="200"/>
        <w:rPr>
          <w:rFonts w:ascii="楷体_GB2312" w:hAnsi="楷体_GB2312" w:eastAsia="楷体_GB2312" w:cs="楷体_GB2312"/>
          <w:sz w:val="28"/>
          <w:szCs w:val="28"/>
        </w:rPr>
      </w:pPr>
      <w:r>
        <w:rPr>
          <w:rFonts w:hint="eastAsia" w:ascii="楷体_GB2312" w:hAnsi="楷体_GB2312" w:eastAsia="楷体_GB2312" w:cs="楷体_GB2312"/>
          <w:b/>
          <w:bCs/>
          <w:sz w:val="28"/>
          <w:szCs w:val="28"/>
        </w:rPr>
        <w:t>培训认证</w:t>
      </w:r>
      <w:r>
        <w:rPr>
          <w:rFonts w:hint="eastAsia" w:ascii="楷体_GB2312" w:hAnsi="楷体_GB2312" w:eastAsia="楷体_GB2312" w:cs="楷体_GB2312"/>
          <w:sz w:val="28"/>
          <w:szCs w:val="28"/>
        </w:rPr>
        <w:t>：按照国家级高考志愿咨询师课程体系组织培训，学员学完规定课程并考试合格后，由中国人生科学学会学生发展指导专业委员会颁发全国高中“高考志愿咨询师”岗位能力培训证书。</w:t>
      </w:r>
    </w:p>
    <w:p>
      <w:pPr>
        <w:spacing w:line="380" w:lineRule="exact"/>
        <w:ind w:firstLine="562" w:firstLineChars="200"/>
        <w:rPr>
          <w:rFonts w:ascii="楷体_GB2312" w:hAnsi="楷体_GB2312" w:eastAsia="楷体_GB2312" w:cs="楷体_GB2312"/>
          <w:sz w:val="28"/>
          <w:szCs w:val="28"/>
        </w:rPr>
      </w:pPr>
      <w:r>
        <w:rPr>
          <w:rFonts w:hint="eastAsia" w:ascii="楷体_GB2312" w:hAnsi="楷体_GB2312" w:eastAsia="楷体_GB2312" w:cs="楷体_GB2312"/>
          <w:b/>
          <w:bCs/>
          <w:sz w:val="28"/>
          <w:szCs w:val="28"/>
        </w:rPr>
        <w:t>师 资</w:t>
      </w:r>
      <w:r>
        <w:rPr>
          <w:rFonts w:hint="eastAsia" w:ascii="楷体_GB2312" w:hAnsi="楷体_GB2312" w:eastAsia="楷体_GB2312" w:cs="楷体_GB2312"/>
          <w:sz w:val="28"/>
          <w:szCs w:val="28"/>
        </w:rPr>
        <w:t>：凝结我国高考志愿研究、大学招生专家、升学规划教育开创者、国际生涯教育大师、国内高考志愿填报优秀从业经验者。</w:t>
      </w:r>
    </w:p>
    <w:p>
      <w:pPr>
        <w:spacing w:line="380" w:lineRule="exact"/>
        <w:ind w:firstLine="562" w:firstLineChars="200"/>
        <w:rPr>
          <w:rFonts w:ascii="楷体_GB2312" w:hAnsi="楷体_GB2312" w:eastAsia="楷体_GB2312" w:cs="楷体_GB2312"/>
          <w:sz w:val="28"/>
          <w:szCs w:val="28"/>
        </w:rPr>
      </w:pPr>
      <w:r>
        <w:rPr>
          <w:rFonts w:hint="eastAsia" w:ascii="楷体_GB2312" w:hAnsi="楷体_GB2312" w:eastAsia="楷体_GB2312" w:cs="楷体_GB2312"/>
          <w:b/>
          <w:bCs/>
          <w:sz w:val="28"/>
          <w:szCs w:val="28"/>
        </w:rPr>
        <w:t>实操落地技术</w:t>
      </w:r>
      <w:r>
        <w:rPr>
          <w:rFonts w:hint="eastAsia" w:ascii="楷体_GB2312" w:hAnsi="楷体_GB2312" w:eastAsia="楷体_GB2312" w:cs="楷体_GB2312"/>
          <w:sz w:val="28"/>
          <w:szCs w:val="28"/>
        </w:rPr>
        <w:t>：立足本土国情，引入国际先进学生发展指导技术及教学培训理念。互动式、体验式教学，以真实案例分析巩固所学理论和技法。</w:t>
      </w:r>
    </w:p>
    <w:p>
      <w:pPr>
        <w:spacing w:line="380" w:lineRule="exact"/>
        <w:rPr>
          <w:rFonts w:ascii="楷体_GB2312" w:hAnsi="楷体_GB2312" w:eastAsia="楷体_GB2312" w:cs="楷体_GB2312"/>
          <w:sz w:val="28"/>
          <w:szCs w:val="28"/>
        </w:rPr>
      </w:pPr>
      <w:r>
        <w:rPr>
          <w:rFonts w:hint="eastAsia" w:ascii="楷体_GB2312" w:hAnsi="楷体_GB2312" w:eastAsia="楷体_GB2312" w:cs="楷体_GB2312"/>
          <w:b/>
          <w:bCs/>
          <w:sz w:val="28"/>
          <w:szCs w:val="28"/>
        </w:rPr>
        <w:t>个人成长</w:t>
      </w:r>
      <w:r>
        <w:rPr>
          <w:rFonts w:hint="eastAsia" w:ascii="楷体_GB2312" w:hAnsi="楷体_GB2312" w:eastAsia="楷体_GB2312" w:cs="楷体_GB2312"/>
          <w:sz w:val="28"/>
          <w:szCs w:val="28"/>
        </w:rPr>
        <w:t>：</w:t>
      </w:r>
    </w:p>
    <w:p>
      <w:pPr>
        <w:spacing w:line="38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1、获得学业规划，职业生涯规划及高考报考相关知识体系；</w:t>
      </w:r>
    </w:p>
    <w:p>
      <w:pPr>
        <w:numPr>
          <w:ilvl w:val="0"/>
          <w:numId w:val="1"/>
        </w:num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sz w:val="28"/>
          <w:szCs w:val="28"/>
        </w:rPr>
        <w:t>可获得全国高考志愿咨询师岗位能力培训合格证书，有机会签约中国学生发展指导专业委员会的专家库；</w:t>
      </w:r>
    </w:p>
    <w:p>
      <w:pPr>
        <w:numPr>
          <w:ilvl w:val="0"/>
          <w:numId w:val="1"/>
        </w:num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sz w:val="28"/>
          <w:szCs w:val="28"/>
        </w:rPr>
        <w:t>培训考试合格有机会成为学生发展指导专业委员会高考志愿填报服务平台签约咨询师，进行有偿志愿填报咨询服务；</w:t>
      </w:r>
    </w:p>
    <w:p>
      <w:pPr>
        <w:numPr>
          <w:ilvl w:val="0"/>
          <w:numId w:val="1"/>
        </w:num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sz w:val="28"/>
          <w:szCs w:val="28"/>
        </w:rPr>
        <w:t>项目组邀请优秀学员成为总课题组核心专家，在以后的培训会、研讨会等活动中以专家身份出席活动，并获得课酬！</w:t>
      </w:r>
    </w:p>
    <w:p>
      <w:pPr>
        <w:numPr>
          <w:ilvl w:val="0"/>
          <w:numId w:val="1"/>
        </w:num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sz w:val="28"/>
          <w:szCs w:val="28"/>
        </w:rPr>
        <w:t>可参加各类志愿填报、高校招生等活动的资格。</w:t>
      </w:r>
    </w:p>
    <w:p>
      <w:pPr>
        <w:numPr>
          <w:ilvl w:val="0"/>
          <w:numId w:val="1"/>
        </w:numPr>
        <w:spacing w:line="380" w:lineRule="exact"/>
        <w:rPr>
          <w:rFonts w:ascii="楷体_GB2312" w:hAnsi="楷体_GB2312" w:eastAsia="楷体_GB2312" w:cs="楷体_GB2312"/>
          <w:sz w:val="28"/>
          <w:szCs w:val="28"/>
        </w:rPr>
      </w:pPr>
      <w:r>
        <w:rPr>
          <w:rFonts w:hint="eastAsia" w:ascii="楷体_GB2312" w:hAnsi="楷体_GB2312" w:eastAsia="楷体_GB2312" w:cs="楷体_GB2312"/>
          <w:b/>
          <w:bCs/>
          <w:sz w:val="28"/>
          <w:szCs w:val="28"/>
        </w:rPr>
        <w:t>学校或组织，可以挂牌（由专委会课题组颁发全国高考志愿填报重点科研基地或示范基地的牌匾与科研证书）</w:t>
      </w:r>
    </w:p>
    <w:p>
      <w:pPr>
        <w:spacing w:line="380" w:lineRule="exact"/>
        <w:rPr>
          <w:rFonts w:ascii="楷体_GB2312" w:hAnsi="楷体_GB2312" w:eastAsia="楷体_GB2312" w:cs="楷体_GB2312"/>
          <w:sz w:val="28"/>
          <w:szCs w:val="28"/>
        </w:rPr>
      </w:pPr>
      <w:r>
        <w:rPr>
          <w:rFonts w:hint="eastAsia" w:ascii="楷体_GB2312" w:hAnsi="楷体_GB2312" w:eastAsia="楷体_GB2312" w:cs="楷体_GB2312"/>
          <w:b/>
          <w:bCs/>
          <w:sz w:val="28"/>
          <w:szCs w:val="28"/>
        </w:rPr>
        <w:t>三、培训对象：</w:t>
      </w:r>
      <w:r>
        <w:rPr>
          <w:rFonts w:hint="eastAsia" w:ascii="楷体_GB2312" w:hAnsi="楷体_GB2312" w:eastAsia="楷体_GB2312" w:cs="楷体_GB2312"/>
          <w:sz w:val="28"/>
          <w:szCs w:val="28"/>
        </w:rPr>
        <w:t>　　</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教育研究人员，大学和高中教师，心理咨询从业者，职业生涯规划从业者，有志于从事高考志愿填报辅导的人群。　　</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四、培训时间、地点</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2018年</w:t>
      </w:r>
      <w:r>
        <w:rPr>
          <w:rFonts w:hint="eastAsia" w:ascii="楷体_GB2312" w:hAnsi="楷体_GB2312" w:eastAsia="楷体_GB2312" w:cs="楷体_GB2312"/>
          <w:sz w:val="28"/>
          <w:szCs w:val="28"/>
          <w:lang w:val="en-US" w:eastAsia="zh-CN"/>
        </w:rPr>
        <w:t>4</w:t>
      </w:r>
      <w:r>
        <w:rPr>
          <w:rFonts w:hint="eastAsia" w:ascii="楷体_GB2312" w:hAnsi="楷体_GB2312" w:eastAsia="楷体_GB2312" w:cs="楷体_GB2312"/>
          <w:sz w:val="28"/>
          <w:szCs w:val="28"/>
        </w:rPr>
        <w:t>月</w:t>
      </w:r>
      <w:r>
        <w:rPr>
          <w:rFonts w:hint="eastAsia" w:ascii="楷体_GB2312" w:hAnsi="楷体_GB2312" w:eastAsia="楷体_GB2312" w:cs="楷体_GB2312"/>
          <w:sz w:val="28"/>
          <w:szCs w:val="28"/>
          <w:lang w:val="en-US" w:eastAsia="zh-CN"/>
        </w:rPr>
        <w:t>11</w:t>
      </w:r>
      <w:r>
        <w:rPr>
          <w:rFonts w:hint="eastAsia" w:ascii="楷体_GB2312" w:hAnsi="楷体_GB2312" w:eastAsia="楷体_GB2312" w:cs="楷体_GB2312"/>
          <w:sz w:val="28"/>
          <w:szCs w:val="28"/>
        </w:rPr>
        <w:t>日—</w:t>
      </w:r>
      <w:r>
        <w:rPr>
          <w:rFonts w:hint="eastAsia" w:ascii="楷体_GB2312" w:hAnsi="楷体_GB2312" w:eastAsia="楷体_GB2312" w:cs="楷体_GB2312"/>
          <w:sz w:val="28"/>
          <w:szCs w:val="28"/>
          <w:lang w:val="en-US" w:eastAsia="zh-CN"/>
        </w:rPr>
        <w:t>1</w:t>
      </w:r>
      <w:r>
        <w:rPr>
          <w:rFonts w:hint="default" w:ascii="楷体_GB2312" w:hAnsi="楷体_GB2312" w:eastAsia="楷体_GB2312" w:cs="楷体_GB2312"/>
          <w:sz w:val="28"/>
          <w:szCs w:val="28"/>
          <w:lang w:val="en-US" w:eastAsia="zh-CN"/>
        </w:rPr>
        <w:t>5</w:t>
      </w:r>
      <w:r>
        <w:rPr>
          <w:rFonts w:hint="eastAsia" w:ascii="楷体_GB2312" w:hAnsi="楷体_GB2312" w:eastAsia="楷体_GB2312" w:cs="楷体_GB2312"/>
          <w:sz w:val="28"/>
          <w:szCs w:val="28"/>
        </w:rPr>
        <w:t>日（</w:t>
      </w:r>
      <w:r>
        <w:rPr>
          <w:rFonts w:hint="eastAsia" w:ascii="楷体_GB2312" w:hAnsi="楷体_GB2312" w:eastAsia="楷体_GB2312" w:cs="楷体_GB2312"/>
          <w:sz w:val="28"/>
          <w:szCs w:val="28"/>
          <w:lang w:val="en-US" w:eastAsia="zh-CN"/>
        </w:rPr>
        <w:t>11</w:t>
      </w:r>
      <w:r>
        <w:rPr>
          <w:rFonts w:hint="eastAsia" w:ascii="楷体_GB2312" w:hAnsi="楷体_GB2312" w:eastAsia="楷体_GB2312" w:cs="楷体_GB2312"/>
          <w:sz w:val="28"/>
          <w:szCs w:val="28"/>
        </w:rPr>
        <w:t>日报到）  地点：</w:t>
      </w:r>
      <w:r>
        <w:rPr>
          <w:rFonts w:hint="eastAsia" w:ascii="楷体_GB2312" w:hAnsi="楷体_GB2312" w:eastAsia="楷体_GB2312" w:cs="楷体_GB2312"/>
          <w:sz w:val="28"/>
          <w:szCs w:val="28"/>
          <w:lang w:eastAsia="zh-CN"/>
        </w:rPr>
        <w:t>北京</w:t>
      </w:r>
    </w:p>
    <w:p>
      <w:pPr>
        <w:spacing w:line="380" w:lineRule="exact"/>
        <w:ind w:firstLine="560" w:firstLineChars="200"/>
        <w:rPr>
          <w:rFonts w:ascii="楷体_GB2312" w:hAnsi="楷体_GB2312" w:eastAsia="楷体_GB2312" w:cs="楷体_GB2312"/>
          <w:b/>
          <w:bCs/>
          <w:sz w:val="28"/>
          <w:szCs w:val="28"/>
        </w:rPr>
      </w:pPr>
      <w:r>
        <w:rPr>
          <w:rFonts w:hint="eastAsia" w:ascii="楷体_GB2312" w:hAnsi="楷体_GB2312" w:eastAsia="楷体_GB2312" w:cs="楷体_GB2312"/>
          <w:sz w:val="28"/>
          <w:szCs w:val="28"/>
        </w:rPr>
        <w:t>注：因培训课程活动以实操为主，所以每期只招生</w:t>
      </w:r>
      <w:r>
        <w:rPr>
          <w:rFonts w:hint="eastAsia" w:ascii="楷体_GB2312" w:hAnsi="楷体_GB2312" w:eastAsia="楷体_GB2312" w:cs="楷体_GB2312"/>
          <w:sz w:val="28"/>
          <w:szCs w:val="28"/>
          <w:lang w:val="en-US" w:eastAsia="zh-CN"/>
        </w:rPr>
        <w:t>60</w:t>
      </w:r>
      <w:r>
        <w:rPr>
          <w:rFonts w:hint="eastAsia" w:ascii="楷体_GB2312" w:hAnsi="楷体_GB2312" w:eastAsia="楷体_GB2312" w:cs="楷体_GB2312"/>
          <w:sz w:val="28"/>
          <w:szCs w:val="28"/>
        </w:rPr>
        <w:t>名学员，额满为止！</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五、课程大纲</w:t>
      </w:r>
    </w:p>
    <w:p>
      <w:pPr>
        <w:spacing w:line="38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第一天</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主题一 ：以高考志愿规划为核心的学生发展指导的意义和价值</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从生涯发展看学生发展指导</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高考志愿咨询师行业发展现状与趋势</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高考招生考试改革新政解读</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新高考背景下高考志愿规划的机遇与挑战</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主题二：高考学生的自我认识与定位</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生涯与测评技术在自我定位中的应用</w:t>
      </w:r>
    </w:p>
    <w:p>
      <w:pPr>
        <w:spacing w:line="380" w:lineRule="exact"/>
        <w:ind w:firstLine="560" w:firstLineChars="200"/>
        <w:rPr>
          <w:rFonts w:ascii="楷体_GB2312" w:hAnsi="楷体_GB2312" w:eastAsia="楷体_GB2312" w:cs="楷体_GB2312"/>
          <w:sz w:val="28"/>
          <w:szCs w:val="28"/>
        </w:rPr>
      </w:pPr>
      <w:r>
        <w:rPr>
          <w:rFonts w:ascii="楷体_GB2312" w:hAnsi="楷体_GB2312" w:eastAsia="楷体_GB2312" w:cs="楷体_GB2312"/>
          <w:sz w:val="28"/>
          <w:szCs w:val="28"/>
        </w:rPr>
        <w:t>显性定位与隐性定位的不同作用</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志愿定向与定位</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主题三： 如何科学选专业</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大学专业设置与解读：学科门类、专业分类</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专业选择的理论依据</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帮助学生了解专业与职业的关系</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高考志愿决策与生涯规划模型</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主题四 ：如何科学选大学</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中国大学的院校分布与层次类别</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大学与产业发展及就业的关系</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985大学、211大学与部分特色大学</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大学校区、分校与独立学院</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影响选择院校的若干要素及其策略</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目标大学的情报搜集与考察</w:t>
      </w:r>
    </w:p>
    <w:p>
      <w:pPr>
        <w:spacing w:line="38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第二天</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主题五 ：基于个人发展的学业规划与志愿填报</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用个人发展规划引领高考志愿</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如何平衡选专业、选大学的关系</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高考志愿与学科选择及学业目标</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主题六 ：高招政策及批次设置</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全国普通高校的招生政策规定</w:t>
      </w:r>
    </w:p>
    <w:p>
      <w:pPr>
        <w:spacing w:line="380" w:lineRule="exact"/>
        <w:ind w:left="559" w:leftChars="266" w:firstLine="0" w:firstLineChars="0"/>
        <w:rPr>
          <w:rFonts w:ascii="楷体_GB2312" w:hAnsi="楷体_GB2312" w:eastAsia="楷体_GB2312" w:cs="楷体_GB2312"/>
          <w:sz w:val="28"/>
          <w:szCs w:val="28"/>
        </w:rPr>
      </w:pPr>
      <w:r>
        <w:rPr>
          <w:rFonts w:hint="eastAsia" w:ascii="楷体_GB2312" w:hAnsi="楷体_GB2312" w:eastAsia="楷体_GB2312" w:cs="楷体_GB2312"/>
          <w:sz w:val="28"/>
          <w:szCs w:val="28"/>
        </w:rPr>
        <w:t>提前批次招生：免费师范生/艺术/体育/军事/公安/司法/国防生/小语种等</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特殊批次招生：自主招生、高水平艺术团、高水平运动队</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正常批次招生：正常批次一二三批、中外合作办学</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非计划内报考：港澳台、出国留学</w:t>
      </w:r>
    </w:p>
    <w:p>
      <w:pPr>
        <w:spacing w:line="38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第三天</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主题七 ：平行志愿的精准解读及其实战操作</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平行志愿及录取的基本原理、录取规则</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平行志愿填报的三个关键字：冲稳保</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"冲一冲"要冲的小心</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"稳一稳"要稳的可心</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"保一保"要保的放心</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关于平行志愿的一些特殊注意事项</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平行志愿填报的风险及典型案例</w:t>
      </w:r>
    </w:p>
    <w:p>
      <w:pPr>
        <w:spacing w:line="38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学生发展指导工具-高考数据平台、测评工具的使用及科学填报指导</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志愿填报经典案例分析及模拟实战训练</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主题八 ：高考志愿咨询师的职业发展</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高考志愿咨询师必备的素质和能力</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高考志愿咨询业务的市场开拓与运营</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高考志愿咨询师品牌塑造与价值提升</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主题九 ：咨询服务规范</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高考志愿咨询服务流程与规范</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客户接待与面谈注意要点</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咨询服务常见问题处理</w:t>
      </w:r>
    </w:p>
    <w:p>
      <w:pPr>
        <w:spacing w:line="38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特别提示：第三天晚上7点召开</w:t>
      </w:r>
      <w:r>
        <w:rPr>
          <w:rFonts w:hint="eastAsia" w:ascii="楷体_GB2312" w:hAnsi="楷体_GB2312" w:eastAsia="楷体_GB2312" w:cs="楷体_GB2312"/>
          <w:b/>
          <w:bCs/>
          <w:sz w:val="28"/>
          <w:szCs w:val="28"/>
          <w:lang w:eastAsia="zh-CN"/>
        </w:rPr>
        <w:t>项目</w:t>
      </w:r>
      <w:r>
        <w:rPr>
          <w:rFonts w:hint="eastAsia" w:ascii="楷体_GB2312" w:hAnsi="楷体_GB2312" w:eastAsia="楷体_GB2312" w:cs="楷体_GB2312"/>
          <w:b/>
          <w:bCs/>
          <w:sz w:val="28"/>
          <w:szCs w:val="28"/>
        </w:rPr>
        <w:t>说明会！</w:t>
      </w:r>
    </w:p>
    <w:p>
      <w:pPr>
        <w:spacing w:line="38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第四天</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主题十：实战辅导训练</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4</w:t>
      </w:r>
      <w:r>
        <w:rPr>
          <w:rFonts w:ascii="楷体_GB2312" w:hAnsi="楷体_GB2312" w:eastAsia="楷体_GB2312" w:cs="楷体_GB2312"/>
          <w:sz w:val="28"/>
          <w:szCs w:val="28"/>
        </w:rPr>
        <w:t>—</w:t>
      </w:r>
      <w:r>
        <w:rPr>
          <w:rFonts w:hint="eastAsia" w:ascii="楷体_GB2312" w:hAnsi="楷体_GB2312" w:eastAsia="楷体_GB2312" w:cs="楷体_GB2312"/>
          <w:sz w:val="28"/>
          <w:szCs w:val="28"/>
        </w:rPr>
        <w:t>5人小组，各完成1次组内咨询实战练习</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各完成一份辅导报告</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高考志愿咨询师知识与技能考核</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六、考试评价、认证体系</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评价主要符合四个条件：</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1、评审专家、与相关导师亲临现场观摩学习过程并给出评价意见。</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2、</w:t>
      </w:r>
      <w:r>
        <w:rPr>
          <w:rFonts w:hint="eastAsia" w:ascii="楷体_GB2312" w:hAnsi="楷体_GB2312" w:eastAsia="楷体_GB2312" w:cs="楷体_GB2312"/>
          <w:sz w:val="28"/>
          <w:szCs w:val="28"/>
          <w:lang w:eastAsia="zh-CN"/>
        </w:rPr>
        <w:t>递交作业：</w:t>
      </w:r>
      <w:r>
        <w:rPr>
          <w:rFonts w:hint="eastAsia" w:ascii="楷体_GB2312" w:hAnsi="楷体_GB2312" w:eastAsia="楷体_GB2312" w:cs="楷体_GB2312"/>
          <w:sz w:val="28"/>
          <w:szCs w:val="28"/>
        </w:rPr>
        <w:t>三个针对学生的高考志愿指导案例（需提交指导日志</w:t>
      </w:r>
      <w:r>
        <w:rPr>
          <w:rFonts w:hint="eastAsia" w:ascii="楷体_GB2312" w:hAnsi="楷体_GB2312" w:eastAsia="楷体_GB2312" w:cs="楷体_GB2312"/>
          <w:sz w:val="28"/>
          <w:szCs w:val="28"/>
          <w:lang w:eastAsia="zh-CN"/>
        </w:rPr>
        <w:t>）</w:t>
      </w:r>
    </w:p>
    <w:p>
      <w:pPr>
        <w:spacing w:line="380" w:lineRule="exact"/>
        <w:ind w:firstLine="840" w:firstLineChars="3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rPr>
        <w:t>完不成作业者，无法领取培训证书</w:t>
      </w:r>
      <w:r>
        <w:rPr>
          <w:rFonts w:hint="eastAsia" w:ascii="楷体_GB2312" w:hAnsi="楷体_GB2312" w:eastAsia="楷体_GB2312" w:cs="楷体_GB2312"/>
          <w:sz w:val="28"/>
          <w:szCs w:val="28"/>
          <w:lang w:eastAsia="zh-CN"/>
        </w:rPr>
        <w:t>，交作业截止时间：</w:t>
      </w:r>
      <w:r>
        <w:rPr>
          <w:rFonts w:hint="eastAsia" w:ascii="楷体_GB2312" w:hAnsi="楷体_GB2312" w:eastAsia="楷体_GB2312" w:cs="楷体_GB2312"/>
          <w:sz w:val="28"/>
          <w:szCs w:val="28"/>
          <w:lang w:val="en-US" w:eastAsia="zh-CN"/>
        </w:rPr>
        <w:t>2018年8月8</w:t>
      </w:r>
    </w:p>
    <w:p>
      <w:pPr>
        <w:spacing w:line="380" w:lineRule="exact"/>
        <w:ind w:firstLine="840" w:firstLineChars="300"/>
        <w:rPr>
          <w:rFonts w:ascii="楷体_GB2312" w:hAnsi="楷体_GB2312" w:eastAsia="楷体_GB2312" w:cs="楷体_GB2312"/>
          <w:sz w:val="28"/>
          <w:szCs w:val="28"/>
        </w:rPr>
      </w:pPr>
      <w:r>
        <w:rPr>
          <w:rFonts w:hint="eastAsia" w:ascii="楷体_GB2312" w:hAnsi="楷体_GB2312" w:eastAsia="楷体_GB2312" w:cs="楷体_GB2312"/>
          <w:sz w:val="28"/>
          <w:szCs w:val="28"/>
          <w:lang w:val="en-US" w:eastAsia="zh-CN"/>
        </w:rPr>
        <w:t>日前</w:t>
      </w:r>
    </w:p>
    <w:p>
      <w:pPr>
        <w:spacing w:line="380" w:lineRule="exact"/>
        <w:ind w:firstLine="560" w:firstLineChars="200"/>
        <w:rPr>
          <w:rFonts w:ascii="楷体_GB2312" w:hAnsi="楷体_GB2312" w:eastAsia="楷体_GB2312" w:cs="楷体_GB2312"/>
          <w:b/>
          <w:bCs/>
          <w:sz w:val="28"/>
          <w:szCs w:val="28"/>
        </w:rPr>
      </w:pPr>
      <w:r>
        <w:rPr>
          <w:rFonts w:hint="eastAsia" w:ascii="楷体_GB2312" w:hAnsi="楷体_GB2312" w:eastAsia="楷体_GB2312" w:cs="楷体_GB2312"/>
          <w:sz w:val="28"/>
          <w:szCs w:val="28"/>
        </w:rPr>
        <w:t xml:space="preserve">    </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七、专家导师</w:t>
      </w:r>
    </w:p>
    <w:p>
      <w:pPr>
        <w:spacing w:line="38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李文辉</w:t>
      </w:r>
      <w:r>
        <w:rPr>
          <w:rFonts w:hint="eastAsia" w:ascii="楷体_GB2312" w:hAnsi="楷体_GB2312" w:eastAsia="楷体_GB2312" w:cs="楷体_GB2312"/>
          <w:b/>
          <w:bCs/>
          <w:sz w:val="28"/>
          <w:szCs w:val="28"/>
          <w:lang w:eastAsia="zh-CN"/>
        </w:rPr>
        <w:t>（开班主持）</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中国人生科学学会学生发展指导专业委员会理事长</w:t>
      </w:r>
    </w:p>
    <w:p>
      <w:pPr>
        <w:spacing w:line="380" w:lineRule="exact"/>
        <w:ind w:firstLine="560" w:firstLineChars="200"/>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全国生涯规划教育与学生发展指导研究总课题组负责人</w:t>
      </w:r>
    </w:p>
    <w:p>
      <w:pPr>
        <w:spacing w:line="380" w:lineRule="exact"/>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val="en-US" w:eastAsia="zh-CN"/>
        </w:rPr>
        <w:t xml:space="preserve">    中国学校生涯规划教育网专家组组长</w:t>
      </w:r>
    </w:p>
    <w:p>
      <w:pPr>
        <w:spacing w:line="380" w:lineRule="exact"/>
        <w:ind w:firstLine="562" w:firstLineChars="200"/>
        <w:rPr>
          <w:rFonts w:ascii="楷体_GB2312" w:hAnsi="楷体_GB2312" w:eastAsia="楷体_GB2312" w:cs="楷体_GB2312"/>
          <w:sz w:val="28"/>
          <w:szCs w:val="28"/>
        </w:rPr>
      </w:pPr>
      <w:r>
        <w:rPr>
          <w:rFonts w:hint="eastAsia" w:ascii="楷体_GB2312" w:hAnsi="楷体_GB2312" w:eastAsia="楷体_GB2312" w:cs="楷体_GB2312"/>
          <w:b/>
          <w:bCs/>
          <w:sz w:val="28"/>
          <w:szCs w:val="28"/>
        </w:rPr>
        <w:t>刘崇利（授课导师）</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中国人生科学学会学生发展指导专业委员会理事</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全国高考志愿填报与学生未来发展研究总课题组负责人</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教育部个人教育规划师、山东大学创新创业顾问</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CSCD学生发展指导能力培训首席咨询师、91上大学网首席高考志愿咨询师、大众网首席高考志愿咨询师、青岛新闻网首席高考志愿咨询师、教育顾问、烟台第一高考志愿填报平台首席高考志愿咨询专家</w:t>
      </w:r>
    </w:p>
    <w:p>
      <w:pPr>
        <w:spacing w:line="42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专业从事高考志愿和学生发展指导能力培训工作，有丰富的学生发展指导和高考志愿填报理论和实战经验，对学生发展指导，自主招生，艺术体育类招生，综合素质评价招生有丰富经验。著有《大数据时代的高考志愿法则》作品。 </w:t>
      </w:r>
    </w:p>
    <w:p>
      <w:pPr>
        <w:spacing w:line="420" w:lineRule="exact"/>
        <w:ind w:firstLine="562" w:firstLineChars="200"/>
        <w:rPr>
          <w:rFonts w:ascii="楷体_GB2312" w:hAnsi="楷体_GB2312" w:eastAsia="楷体_GB2312" w:cs="楷体_GB2312"/>
          <w:b/>
          <w:sz w:val="28"/>
          <w:szCs w:val="28"/>
        </w:rPr>
      </w:pPr>
      <w:r>
        <w:rPr>
          <w:rFonts w:hint="eastAsia" w:ascii="楷体_GB2312" w:hAnsi="楷体_GB2312" w:eastAsia="楷体_GB2312" w:cs="楷体_GB2312"/>
          <w:b/>
          <w:sz w:val="28"/>
          <w:szCs w:val="28"/>
        </w:rPr>
        <w:t xml:space="preserve">吴俊 </w:t>
      </w:r>
      <w:r>
        <w:rPr>
          <w:rFonts w:hint="eastAsia" w:ascii="楷体_GB2312" w:hAnsi="楷体_GB2312" w:eastAsia="楷体_GB2312" w:cs="楷体_GB2312"/>
          <w:b/>
          <w:sz w:val="28"/>
          <w:szCs w:val="28"/>
          <w:lang w:eastAsia="zh-CN"/>
        </w:rPr>
        <w:t>（授课导师）</w:t>
      </w:r>
      <w:r>
        <w:rPr>
          <w:rFonts w:hint="eastAsia" w:ascii="楷体_GB2312" w:hAnsi="楷体_GB2312" w:eastAsia="楷体_GB2312" w:cs="楷体_GB2312"/>
          <w:b/>
          <w:sz w:val="28"/>
          <w:szCs w:val="28"/>
        </w:rPr>
        <w:t xml:space="preserve">                                  </w:t>
      </w:r>
    </w:p>
    <w:p>
      <w:pPr>
        <w:spacing w:line="42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学生发展指导专业委员会高考研究中心研究员</w:t>
      </w:r>
    </w:p>
    <w:p>
      <w:pPr>
        <w:spacing w:line="42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山东大学学生就业创业指导中心就业指导中心主任 </w:t>
      </w:r>
    </w:p>
    <w:p>
      <w:pPr>
        <w:spacing w:line="42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全球职业规划师、生涯发展教练、高级职业指导师 </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rPr>
        <w:t>具有丰富的大学招生与学生指导工作经验，负责山东大学本、硕、博学生的发展指导活动，职业发展咨询、职业生涯规划课程组织与授课。有丰富的职业规划与高考志愿填报经验，擅长以就业目标及未来发展为导向的高考志愿填报咨询</w:t>
      </w:r>
      <w:r>
        <w:rPr>
          <w:rFonts w:hint="eastAsia" w:ascii="楷体_GB2312" w:hAnsi="楷体_GB2312" w:eastAsia="楷体_GB2312" w:cs="楷体_GB2312"/>
          <w:sz w:val="28"/>
          <w:szCs w:val="28"/>
          <w:lang w:eastAsia="zh-CN"/>
        </w:rPr>
        <w:t>。</w:t>
      </w:r>
    </w:p>
    <w:p>
      <w:pPr>
        <w:spacing w:line="420" w:lineRule="exact"/>
        <w:ind w:firstLine="562" w:firstLineChars="200"/>
        <w:rPr>
          <w:rFonts w:ascii="楷体_GB2312" w:hAnsi="楷体_GB2312" w:eastAsia="楷体_GB2312" w:cs="楷体_GB2312"/>
          <w:b/>
          <w:sz w:val="28"/>
          <w:szCs w:val="28"/>
        </w:rPr>
      </w:pPr>
      <w:r>
        <w:rPr>
          <w:rFonts w:hint="eastAsia" w:ascii="楷体_GB2312" w:hAnsi="楷体_GB2312" w:eastAsia="楷体_GB2312" w:cs="楷体_GB2312"/>
          <w:b/>
          <w:sz w:val="28"/>
          <w:szCs w:val="28"/>
        </w:rPr>
        <w:t xml:space="preserve">韩 旭  </w:t>
      </w:r>
      <w:r>
        <w:rPr>
          <w:rFonts w:hint="eastAsia" w:ascii="楷体_GB2312" w:hAnsi="楷体_GB2312" w:eastAsia="楷体_GB2312" w:cs="楷体_GB2312"/>
          <w:b/>
          <w:bCs/>
          <w:sz w:val="28"/>
          <w:szCs w:val="28"/>
        </w:rPr>
        <w:t>（授课导师）</w:t>
      </w:r>
    </w:p>
    <w:p>
      <w:pPr>
        <w:spacing w:line="420" w:lineRule="exact"/>
        <w:ind w:firstLine="560" w:firstLineChars="200"/>
        <w:rPr>
          <w:rFonts w:ascii="楷体_GB2312" w:hAnsi="楷体_GB2312" w:eastAsia="楷体_GB2312" w:cs="楷体_GB2312"/>
          <w:b/>
          <w:sz w:val="28"/>
          <w:szCs w:val="28"/>
        </w:rPr>
      </w:pPr>
      <w:r>
        <w:rPr>
          <w:rFonts w:hint="eastAsia" w:ascii="楷体_GB2312" w:hAnsi="楷体_GB2312" w:eastAsia="楷体_GB2312" w:cs="楷体_GB2312"/>
          <w:bCs/>
          <w:sz w:val="28"/>
          <w:szCs w:val="28"/>
        </w:rPr>
        <w:t xml:space="preserve">志愿无忧网首席咨询师、志愿无忧网创始人、教育部学校规划建设发展中心生涯发展研究院院长，中国生涯发展规划总会主席，新浪网高考政策、自主招生首席专家、全国首届“五星金牌高考志愿咨询师大赛”专家评委。              </w:t>
      </w:r>
      <w:r>
        <w:rPr>
          <w:rFonts w:hint="eastAsia" w:ascii="楷体_GB2312" w:hAnsi="楷体_GB2312" w:eastAsia="楷体_GB2312" w:cs="楷体_GB2312"/>
          <w:b/>
          <w:sz w:val="28"/>
          <w:szCs w:val="28"/>
        </w:rPr>
        <w:t xml:space="preserve">                </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八、报名事项</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1.填写《报名登记表》；提交身份证复印件1份，2寸彩色免冠照片2张(需电子版)。</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2.学习周期：整个学习包括：提前一周预习——4天集训——训后两周评价考试——发证。总课时约60课时。</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3.培训费用：全国统一执行价</w:t>
      </w:r>
      <w:r>
        <w:rPr>
          <w:rFonts w:hint="eastAsia" w:ascii="楷体_GB2312" w:hAnsi="楷体_GB2312" w:eastAsia="楷体_GB2312" w:cs="楷体_GB2312"/>
          <w:sz w:val="28"/>
          <w:szCs w:val="28"/>
          <w:lang w:val="en-US" w:eastAsia="zh-CN"/>
        </w:rPr>
        <w:t>2200</w:t>
      </w:r>
      <w:r>
        <w:rPr>
          <w:rFonts w:hint="eastAsia" w:ascii="楷体_GB2312" w:hAnsi="楷体_GB2312" w:eastAsia="楷体_GB2312" w:cs="楷体_GB2312"/>
          <w:sz w:val="28"/>
          <w:szCs w:val="28"/>
        </w:rPr>
        <w:t>元，食宿自理（每人每天320左右），会务组统一安排。为了更好的学习效果，学员须与课程顾问联系，提前付费预订课程。</w:t>
      </w:r>
      <w:r>
        <w:rPr>
          <w:rFonts w:hint="eastAsia" w:ascii="楷体_GB2312" w:hAnsi="楷体_GB2312" w:eastAsia="楷体_GB2312" w:cs="楷体_GB2312"/>
          <w:sz w:val="28"/>
          <w:szCs w:val="28"/>
          <w:lang w:val="en-US" w:eastAsia="zh-CN"/>
        </w:rPr>
        <w:t>3月</w:t>
      </w:r>
      <w:r>
        <w:rPr>
          <w:rFonts w:hint="default" w:ascii="楷体_GB2312" w:hAnsi="楷体_GB2312" w:eastAsia="楷体_GB2312" w:cs="楷体_GB2312"/>
          <w:sz w:val="28"/>
          <w:szCs w:val="28"/>
          <w:lang w:val="en-US" w:eastAsia="zh-CN"/>
        </w:rPr>
        <w:t>20</w:t>
      </w:r>
      <w:bookmarkStart w:id="0" w:name="_GoBack"/>
      <w:bookmarkEnd w:id="0"/>
      <w:r>
        <w:rPr>
          <w:rFonts w:hint="eastAsia" w:ascii="楷体_GB2312" w:hAnsi="楷体_GB2312" w:eastAsia="楷体_GB2312" w:cs="楷体_GB2312"/>
          <w:sz w:val="28"/>
          <w:szCs w:val="28"/>
          <w:lang w:val="en-US" w:eastAsia="zh-CN"/>
        </w:rPr>
        <w:t>日前报名者为1800元。</w:t>
      </w:r>
    </w:p>
    <w:p>
      <w:pPr>
        <w:spacing w:line="380" w:lineRule="exact"/>
        <w:ind w:firstLine="560" w:firstLineChars="200"/>
        <w:rPr>
          <w:rFonts w:hint="eastAsia" w:ascii="楷体_GB2312" w:hAnsi="楷体_GB2312" w:eastAsia="楷体_GB2312" w:cs="楷体_GB2312"/>
          <w:sz w:val="28"/>
          <w:szCs w:val="28"/>
        </w:rPr>
      </w:pPr>
    </w:p>
    <w:p>
      <w:pPr>
        <w:spacing w:line="380" w:lineRule="exact"/>
        <w:ind w:firstLine="560" w:firstLineChars="200"/>
        <w:rPr>
          <w:rFonts w:hint="eastAsia" w:ascii="楷体_GB2312" w:hAnsi="楷体_GB2312" w:eastAsia="楷体_GB2312" w:cs="楷体_GB2312"/>
          <w:sz w:val="28"/>
          <w:szCs w:val="28"/>
        </w:rPr>
      </w:pP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4.组委会联系方式：</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联系人：李老师      电  话：010-61354811   15810469859</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邮  箱：nylilihai@126.com</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网  址：http://www.zgxxsygh.com</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（中国学校生涯规划教育网）</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附件一：学生发展指导专业委员会简介</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附件二：报名表                         </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       </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rPr>
        <w:t xml:space="preserve"> </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rPr>
        <w:t>中国人生科学学会</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rPr>
        <w:t xml:space="preserve">学生发展指导专业委员会          </w:t>
      </w:r>
    </w:p>
    <w:p>
      <w:pPr>
        <w:spacing w:line="38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rPr>
        <w:t>201</w:t>
      </w:r>
      <w:r>
        <w:rPr>
          <w:rFonts w:hint="eastAsia" w:ascii="楷体_GB2312" w:hAnsi="楷体_GB2312" w:eastAsia="楷体_GB2312" w:cs="楷体_GB2312"/>
          <w:sz w:val="28"/>
          <w:szCs w:val="28"/>
          <w:lang w:val="en-US" w:eastAsia="zh-CN"/>
        </w:rPr>
        <w:t>8</w:t>
      </w: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val="en-US" w:eastAsia="zh-CN"/>
        </w:rPr>
        <w:t>3</w:t>
      </w: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val="en-US" w:eastAsia="zh-CN"/>
        </w:rPr>
        <w:t>6</w:t>
      </w:r>
    </w:p>
    <w:p/>
    <w:p/>
    <w:p>
      <w:pPr>
        <w:widowControl/>
        <w:jc w:val="left"/>
        <w:rPr>
          <w:rFonts w:ascii="黑体" w:hAnsi="宋体" w:eastAsia="黑体" w:cs="黑体"/>
          <w:b/>
          <w:bCs/>
          <w:color w:val="FF0000"/>
          <w:kern w:val="0"/>
          <w:sz w:val="32"/>
          <w:szCs w:val="32"/>
          <w:shd w:val="clear" w:color="auto" w:fill="FFFFFF"/>
        </w:rPr>
      </w:pPr>
    </w:p>
    <w:p>
      <w:pPr>
        <w:widowControl/>
        <w:jc w:val="left"/>
        <w:rPr>
          <w:rFonts w:ascii="黑体" w:hAnsi="宋体" w:eastAsia="黑体" w:cs="黑体"/>
          <w:b/>
          <w:bCs/>
          <w:color w:val="FF0000"/>
          <w:kern w:val="0"/>
          <w:sz w:val="32"/>
          <w:szCs w:val="32"/>
          <w:shd w:val="clear" w:color="auto" w:fill="FFFFFF"/>
        </w:rPr>
      </w:pPr>
    </w:p>
    <w:p>
      <w:pPr>
        <w:widowControl/>
        <w:jc w:val="left"/>
        <w:rPr>
          <w:rFonts w:hint="eastAsia" w:ascii="黑体" w:hAnsi="宋体" w:eastAsia="黑体" w:cs="黑体"/>
          <w:b/>
          <w:bCs/>
          <w:color w:val="FF0000"/>
          <w:kern w:val="0"/>
          <w:sz w:val="32"/>
          <w:szCs w:val="32"/>
          <w:shd w:val="clear" w:color="auto" w:fill="FFFFFF"/>
        </w:rPr>
      </w:pPr>
    </w:p>
    <w:p>
      <w:pPr>
        <w:widowControl/>
        <w:jc w:val="left"/>
        <w:rPr>
          <w:rFonts w:hint="eastAsia" w:ascii="黑体" w:hAnsi="宋体" w:eastAsia="黑体" w:cs="黑体"/>
          <w:b/>
          <w:bCs/>
          <w:color w:val="FF0000"/>
          <w:kern w:val="0"/>
          <w:sz w:val="32"/>
          <w:szCs w:val="32"/>
          <w:shd w:val="clear" w:color="auto" w:fill="FFFFFF"/>
        </w:rPr>
      </w:pPr>
    </w:p>
    <w:p>
      <w:pPr>
        <w:widowControl/>
        <w:jc w:val="left"/>
        <w:rPr>
          <w:rFonts w:hint="eastAsia" w:ascii="黑体" w:hAnsi="宋体" w:eastAsia="黑体" w:cs="黑体"/>
          <w:b/>
          <w:bCs/>
          <w:color w:val="FF0000"/>
          <w:kern w:val="0"/>
          <w:sz w:val="32"/>
          <w:szCs w:val="32"/>
          <w:shd w:val="clear" w:color="auto" w:fill="FFFFFF"/>
        </w:rPr>
      </w:pPr>
    </w:p>
    <w:p>
      <w:pPr>
        <w:widowControl/>
        <w:jc w:val="left"/>
        <w:rPr>
          <w:rFonts w:hint="eastAsia" w:ascii="黑体" w:hAnsi="宋体" w:eastAsia="黑体" w:cs="黑体"/>
          <w:b/>
          <w:bCs/>
          <w:color w:val="FF0000"/>
          <w:kern w:val="0"/>
          <w:sz w:val="32"/>
          <w:szCs w:val="32"/>
          <w:shd w:val="clear" w:color="auto" w:fill="FFFFFF"/>
        </w:rPr>
      </w:pPr>
    </w:p>
    <w:p>
      <w:pPr>
        <w:widowControl/>
        <w:jc w:val="left"/>
        <w:rPr>
          <w:rFonts w:hint="eastAsia" w:ascii="黑体" w:hAnsi="宋体" w:eastAsia="黑体" w:cs="黑体"/>
          <w:b/>
          <w:bCs/>
          <w:color w:val="FF0000"/>
          <w:kern w:val="0"/>
          <w:sz w:val="32"/>
          <w:szCs w:val="32"/>
          <w:shd w:val="clear" w:color="auto" w:fill="FFFFFF"/>
        </w:rPr>
      </w:pPr>
    </w:p>
    <w:p>
      <w:pPr>
        <w:widowControl/>
        <w:jc w:val="left"/>
        <w:rPr>
          <w:rFonts w:hint="eastAsia" w:ascii="黑体" w:hAnsi="宋体" w:eastAsia="黑体" w:cs="黑体"/>
          <w:b/>
          <w:bCs/>
          <w:color w:val="FF0000"/>
          <w:kern w:val="0"/>
          <w:sz w:val="32"/>
          <w:szCs w:val="32"/>
          <w:shd w:val="clear" w:color="auto" w:fill="FFFFFF"/>
        </w:rPr>
      </w:pPr>
    </w:p>
    <w:p>
      <w:pPr>
        <w:widowControl/>
        <w:jc w:val="left"/>
        <w:rPr>
          <w:rFonts w:hint="eastAsia" w:ascii="黑体" w:hAnsi="宋体" w:eastAsia="黑体" w:cs="黑体"/>
          <w:b/>
          <w:bCs/>
          <w:color w:val="FF0000"/>
          <w:kern w:val="0"/>
          <w:sz w:val="32"/>
          <w:szCs w:val="32"/>
          <w:shd w:val="clear" w:color="auto" w:fill="FFFFFF"/>
        </w:rPr>
      </w:pPr>
    </w:p>
    <w:p>
      <w:pPr>
        <w:widowControl/>
        <w:jc w:val="left"/>
        <w:rPr>
          <w:rFonts w:hint="eastAsia" w:ascii="黑体" w:hAnsi="宋体" w:eastAsia="黑体" w:cs="黑体"/>
          <w:b/>
          <w:bCs/>
          <w:color w:val="FF0000"/>
          <w:kern w:val="0"/>
          <w:sz w:val="32"/>
          <w:szCs w:val="32"/>
          <w:shd w:val="clear" w:color="auto" w:fill="FFFFFF"/>
        </w:rPr>
      </w:pPr>
    </w:p>
    <w:p>
      <w:pPr>
        <w:widowControl/>
        <w:jc w:val="left"/>
        <w:rPr>
          <w:rFonts w:hint="eastAsia" w:ascii="黑体" w:hAnsi="宋体" w:eastAsia="黑体" w:cs="黑体"/>
          <w:b/>
          <w:bCs/>
          <w:color w:val="FF0000"/>
          <w:kern w:val="0"/>
          <w:sz w:val="32"/>
          <w:szCs w:val="32"/>
          <w:shd w:val="clear" w:color="auto" w:fill="FFFFFF"/>
        </w:rPr>
      </w:pPr>
    </w:p>
    <w:p>
      <w:pPr>
        <w:widowControl/>
        <w:jc w:val="left"/>
        <w:rPr>
          <w:rFonts w:hint="eastAsia" w:ascii="黑体" w:hAnsi="宋体" w:eastAsia="黑体" w:cs="黑体"/>
          <w:b/>
          <w:bCs/>
          <w:color w:val="FF0000"/>
          <w:kern w:val="0"/>
          <w:sz w:val="32"/>
          <w:szCs w:val="32"/>
          <w:shd w:val="clear" w:color="auto" w:fill="FFFFFF"/>
        </w:rPr>
      </w:pPr>
    </w:p>
    <w:p>
      <w:pPr>
        <w:widowControl/>
        <w:jc w:val="left"/>
        <w:rPr>
          <w:rFonts w:hint="eastAsia" w:ascii="黑体" w:hAnsi="宋体" w:eastAsia="黑体" w:cs="黑体"/>
          <w:b/>
          <w:bCs/>
          <w:color w:val="FF0000"/>
          <w:kern w:val="0"/>
          <w:sz w:val="32"/>
          <w:szCs w:val="32"/>
          <w:shd w:val="clear" w:color="auto" w:fill="FFFFFF"/>
        </w:rPr>
      </w:pPr>
    </w:p>
    <w:p>
      <w:pPr>
        <w:widowControl/>
        <w:jc w:val="left"/>
        <w:rPr>
          <w:rFonts w:hint="eastAsia" w:ascii="黑体" w:hAnsi="宋体" w:eastAsia="黑体" w:cs="黑体"/>
          <w:b/>
          <w:bCs/>
          <w:color w:val="FF0000"/>
          <w:kern w:val="0"/>
          <w:sz w:val="32"/>
          <w:szCs w:val="32"/>
          <w:shd w:val="clear" w:color="auto" w:fill="FFFFFF"/>
        </w:rPr>
      </w:pPr>
    </w:p>
    <w:p>
      <w:pPr>
        <w:widowControl/>
        <w:jc w:val="left"/>
        <w:rPr>
          <w:rFonts w:hint="eastAsia" w:ascii="黑体" w:hAnsi="宋体" w:eastAsia="黑体" w:cs="黑体"/>
          <w:b/>
          <w:bCs/>
          <w:color w:val="FF0000"/>
          <w:kern w:val="0"/>
          <w:sz w:val="32"/>
          <w:szCs w:val="32"/>
          <w:shd w:val="clear" w:color="auto" w:fill="FFFFFF"/>
          <w:lang w:eastAsia="zh-CN"/>
        </w:rPr>
      </w:pPr>
    </w:p>
    <w:p>
      <w:pPr>
        <w:widowControl/>
        <w:jc w:val="left"/>
        <w:rPr>
          <w:rFonts w:ascii="黑体" w:hAnsi="宋体" w:eastAsia="黑体" w:cs="黑体"/>
          <w:b/>
          <w:bCs/>
          <w:color w:val="FF0000"/>
          <w:kern w:val="0"/>
          <w:sz w:val="32"/>
          <w:szCs w:val="32"/>
          <w:shd w:val="clear" w:color="auto" w:fill="FFFFFF"/>
        </w:rPr>
      </w:pPr>
      <w:r>
        <w:rPr>
          <w:rFonts w:hint="eastAsia" w:ascii="黑体" w:hAnsi="宋体" w:eastAsia="黑体" w:cs="黑体"/>
          <w:b/>
          <w:bCs/>
          <w:color w:val="FF0000"/>
          <w:kern w:val="0"/>
          <w:sz w:val="32"/>
          <w:szCs w:val="32"/>
          <w:shd w:val="clear" w:color="auto" w:fill="FFFFFF"/>
        </w:rPr>
        <w:t>附件一</w:t>
      </w:r>
    </w:p>
    <w:p>
      <w:pPr>
        <w:widowControl/>
        <w:ind w:firstLine="480"/>
        <w:jc w:val="left"/>
        <w:rPr>
          <w:rFonts w:ascii="黑体" w:hAnsi="宋体" w:eastAsia="黑体" w:cs="黑体"/>
          <w:b/>
          <w:bCs/>
          <w:color w:val="FF0000"/>
          <w:kern w:val="0"/>
          <w:sz w:val="32"/>
          <w:szCs w:val="32"/>
          <w:shd w:val="clear" w:color="auto" w:fill="FFFFFF"/>
        </w:rPr>
      </w:pPr>
      <w:r>
        <w:rPr>
          <w:rFonts w:hint="eastAsia" w:ascii="黑体" w:hAnsi="宋体" w:eastAsia="黑体" w:cs="黑体"/>
          <w:b/>
          <w:bCs/>
          <w:color w:val="FF0000"/>
          <w:kern w:val="0"/>
          <w:sz w:val="32"/>
          <w:szCs w:val="32"/>
          <w:shd w:val="clear" w:color="auto" w:fill="FFFFFF"/>
        </w:rPr>
        <w:t>中国人生科学学会学生发展指导专业委员会简介</w:t>
      </w:r>
    </w:p>
    <w:p>
      <w:pPr>
        <w:widowControl/>
        <w:jc w:val="left"/>
        <w:rPr>
          <w:rFonts w:ascii="黑体" w:hAnsi="宋体" w:eastAsia="黑体" w:cs="黑体"/>
          <w:color w:val="555555"/>
          <w:kern w:val="0"/>
          <w:sz w:val="24"/>
          <w:szCs w:val="24"/>
          <w:shd w:val="clear" w:color="auto" w:fill="FFFFFF"/>
        </w:rPr>
      </w:pPr>
    </w:p>
    <w:p>
      <w:pPr>
        <w:widowControl/>
        <w:ind w:firstLine="480"/>
        <w:jc w:val="left"/>
        <w:rPr>
          <w:rFonts w:ascii="宋体" w:hAnsi="宋体" w:eastAsia="宋体" w:cs="宋体"/>
          <w:color w:val="000000"/>
          <w:sz w:val="24"/>
          <w:szCs w:val="24"/>
        </w:rPr>
      </w:pPr>
      <w:r>
        <w:rPr>
          <w:rFonts w:ascii="黑体" w:hAnsi="宋体" w:eastAsia="黑体" w:cs="黑体"/>
          <w:color w:val="555555"/>
          <w:kern w:val="0"/>
          <w:sz w:val="24"/>
          <w:szCs w:val="24"/>
          <w:shd w:val="clear" w:color="auto" w:fill="FFFFFF"/>
        </w:rPr>
        <w:t>中国人生科学学会是中华人民共和国教育部业务主管、民政部注册的国家一级学术社团。</w:t>
      </w:r>
    </w:p>
    <w:p>
      <w:pPr>
        <w:widowControl/>
        <w:shd w:val="clear" w:color="auto" w:fill="FFFFFF"/>
        <w:jc w:val="left"/>
        <w:rPr>
          <w:rFonts w:ascii="宋体" w:hAnsi="宋体" w:eastAsia="宋体" w:cs="宋体"/>
          <w:color w:val="000000"/>
          <w:sz w:val="24"/>
          <w:szCs w:val="24"/>
        </w:rPr>
      </w:pPr>
      <w:r>
        <w:rPr>
          <w:rFonts w:hint="eastAsia" w:ascii="黑体" w:hAnsi="宋体" w:eastAsia="黑体" w:cs="黑体"/>
          <w:color w:val="555555"/>
          <w:kern w:val="0"/>
          <w:sz w:val="24"/>
          <w:szCs w:val="24"/>
          <w:shd w:val="clear" w:color="auto" w:fill="FFFFFF"/>
        </w:rPr>
        <w:t>　　中国人生科学是我国社会科学领域里的一个崭新学科。它的学术功能是：研究人生现象，揭示人生规律，探索人生理论，指导人生实践。帮助每个人正确认识和设计人生，有效地创造和奉献人生，挖掘人生潜能，造就人生辉煌。人生科学是融合古今中外优秀的伦理道德和哲学思想形成的人生理论和做人科学，是古今人们常做常新，与时俱进，永无终结的一门显学。</w:t>
      </w:r>
    </w:p>
    <w:p>
      <w:pPr>
        <w:widowControl/>
        <w:shd w:val="clear" w:color="auto" w:fill="FFFFFF"/>
        <w:jc w:val="left"/>
        <w:rPr>
          <w:rFonts w:ascii="宋体" w:hAnsi="宋体" w:eastAsia="宋体" w:cs="宋体"/>
          <w:color w:val="000000"/>
          <w:sz w:val="24"/>
          <w:szCs w:val="24"/>
        </w:rPr>
      </w:pPr>
      <w:r>
        <w:rPr>
          <w:rFonts w:hint="eastAsia" w:ascii="黑体" w:hAnsi="宋体" w:eastAsia="黑体" w:cs="黑体"/>
          <w:color w:val="555555"/>
          <w:kern w:val="0"/>
          <w:sz w:val="24"/>
          <w:szCs w:val="24"/>
          <w:shd w:val="clear" w:color="auto" w:fill="FFFFFF"/>
        </w:rPr>
        <w:t>　　中国人生科学学会正在探讨市场经济条件下，人的生存与发展的种种问题。同时开展人生教育、人生咨询、人生健康、人生创业等与此相关的服务活动。并和有关部门联合举办各种大型有益于文明进步的社会活动。为创建美好人生和和谐社会而不懈努力。</w:t>
      </w:r>
    </w:p>
    <w:p>
      <w:pPr>
        <w:widowControl/>
        <w:shd w:val="clear" w:color="auto" w:fill="FFFFFF"/>
        <w:ind w:firstLine="480"/>
        <w:jc w:val="left"/>
        <w:rPr>
          <w:rFonts w:ascii="宋体" w:hAnsi="宋体" w:eastAsia="宋体" w:cs="宋体"/>
          <w:color w:val="000000"/>
          <w:sz w:val="24"/>
          <w:szCs w:val="24"/>
        </w:rPr>
      </w:pPr>
      <w:r>
        <w:rPr>
          <w:rFonts w:hint="eastAsia" w:ascii="黑体" w:hAnsi="宋体" w:eastAsia="黑体" w:cs="黑体"/>
          <w:color w:val="535353"/>
          <w:kern w:val="0"/>
          <w:sz w:val="24"/>
          <w:szCs w:val="24"/>
          <w:shd w:val="clear" w:color="auto" w:fill="FFFFFF"/>
        </w:rPr>
        <w:t>中国人生科学学会学生发展指导专业委员会（以下简称学生发展专委员）是中国人生科学学会的直属机构。</w:t>
      </w:r>
    </w:p>
    <w:p>
      <w:pPr>
        <w:widowControl/>
        <w:shd w:val="clear" w:color="auto" w:fill="FFFFFF"/>
        <w:ind w:firstLine="480"/>
        <w:jc w:val="left"/>
        <w:rPr>
          <w:rFonts w:ascii="宋体" w:hAnsi="宋体" w:eastAsia="宋体" w:cs="宋体"/>
          <w:color w:val="000000"/>
          <w:sz w:val="24"/>
          <w:szCs w:val="24"/>
        </w:rPr>
      </w:pPr>
      <w:r>
        <w:rPr>
          <w:rFonts w:hint="eastAsia" w:ascii="黑体" w:hAnsi="宋体" w:eastAsia="黑体" w:cs="黑体"/>
          <w:color w:val="535353"/>
          <w:kern w:val="0"/>
          <w:sz w:val="24"/>
          <w:szCs w:val="24"/>
          <w:shd w:val="clear" w:color="auto" w:fill="FFFFFF"/>
        </w:rPr>
        <w:t>学生发展专委会的宗旨是为了帮助学生在学生阶段开始思考“为什么发展”、“发展成什么样的人”、“如何发展”、“如何管理发展过程”等问题，帮助学生掌握有效发展的方法，从小养成良好的发展意识与习惯，树立远大理想、信念和价值观，科学规划自己的人生。</w:t>
      </w:r>
    </w:p>
    <w:p>
      <w:pPr>
        <w:widowControl/>
        <w:shd w:val="clear" w:color="auto" w:fill="FFFFFF"/>
        <w:ind w:firstLine="480"/>
        <w:jc w:val="left"/>
        <w:rPr>
          <w:rFonts w:ascii="宋体" w:hAnsi="宋体" w:eastAsia="宋体" w:cs="宋体"/>
          <w:color w:val="000000"/>
          <w:sz w:val="24"/>
          <w:szCs w:val="24"/>
        </w:rPr>
      </w:pPr>
      <w:r>
        <w:rPr>
          <w:rFonts w:hint="eastAsia" w:ascii="黑体" w:hAnsi="宋体" w:eastAsia="黑体" w:cs="黑体"/>
          <w:color w:val="535353"/>
          <w:kern w:val="0"/>
          <w:sz w:val="24"/>
          <w:szCs w:val="24"/>
          <w:shd w:val="clear" w:color="auto" w:fill="FFFFFF"/>
        </w:rPr>
        <w:t>学生发展专委会的主要职责是以学生不同时期的发展需求为主题，面向学前教育、义务教育、高中阶段教育、高等教育、成人教育等学生成长的各个阶段，针对教育规划、教育技术、教育模式、教育设备、多元课程、学生核心素养、学生综合素质评价、创客教育等各个方面进行理论研究和课题实践。</w:t>
      </w:r>
    </w:p>
    <w:p>
      <w:pPr>
        <w:widowControl/>
        <w:shd w:val="clear" w:color="auto" w:fill="FFFFFF"/>
        <w:ind w:firstLine="480"/>
        <w:jc w:val="left"/>
        <w:rPr>
          <w:rFonts w:ascii="宋体" w:hAnsi="宋体" w:eastAsia="宋体" w:cs="宋体"/>
          <w:color w:val="000000"/>
          <w:sz w:val="24"/>
          <w:szCs w:val="24"/>
        </w:rPr>
      </w:pPr>
      <w:r>
        <w:rPr>
          <w:rFonts w:hint="eastAsia" w:ascii="黑体" w:hAnsi="宋体" w:eastAsia="黑体" w:cs="黑体"/>
          <w:color w:val="535353"/>
          <w:kern w:val="0"/>
          <w:sz w:val="24"/>
          <w:szCs w:val="24"/>
          <w:shd w:val="clear" w:color="auto" w:fill="FFFFFF"/>
        </w:rPr>
        <w:t>学生发展专委会将面向全国召开与学生发展指导相关的各种论坛、研讨会、培训、课题研究、成果推介等多样化的活动。包括，生涯规划论坛和研讨会、创客教育研讨会、自主学习论坛和研讨会、学校生涯规划师岗位能力培训、高考志愿填报咨询师岗位能力培训、自主学习指导师岗位能力培训、学生发展课题研究、学生发展指导研究成果推介会等活动。</w:t>
      </w:r>
    </w:p>
    <w:p>
      <w:pPr>
        <w:widowControl/>
        <w:shd w:val="clear" w:color="auto" w:fill="FFFFFF"/>
        <w:ind w:firstLine="480"/>
        <w:jc w:val="left"/>
        <w:rPr>
          <w:rFonts w:ascii="宋体" w:hAnsi="宋体" w:eastAsia="宋体" w:cs="宋体"/>
          <w:color w:val="000000"/>
          <w:sz w:val="24"/>
          <w:szCs w:val="24"/>
        </w:rPr>
      </w:pPr>
      <w:r>
        <w:rPr>
          <w:rFonts w:hint="eastAsia" w:ascii="黑体" w:hAnsi="宋体" w:eastAsia="黑体" w:cs="黑体"/>
          <w:color w:val="535353"/>
          <w:kern w:val="0"/>
          <w:sz w:val="24"/>
          <w:szCs w:val="24"/>
          <w:shd w:val="clear" w:color="auto" w:fill="FFFFFF"/>
        </w:rPr>
        <w:t>学生发展专委会下设秘书处、科研中心、培训中心、课程中心、企业合作中心、国际交流中心等业务部门，力求专业性和协同作用。</w:t>
      </w:r>
    </w:p>
    <w:p>
      <w:pPr>
        <w:widowControl/>
        <w:shd w:val="clear" w:color="auto" w:fill="FFFFFF"/>
        <w:ind w:firstLine="480"/>
        <w:jc w:val="left"/>
        <w:rPr>
          <w:rFonts w:ascii="宋体" w:hAnsi="宋体" w:eastAsia="宋体" w:cs="宋体"/>
          <w:color w:val="000000"/>
          <w:sz w:val="24"/>
          <w:szCs w:val="24"/>
        </w:rPr>
      </w:pPr>
      <w:r>
        <w:rPr>
          <w:rFonts w:hint="eastAsia" w:ascii="黑体" w:hAnsi="宋体" w:eastAsia="黑体" w:cs="黑体"/>
          <w:color w:val="535353"/>
          <w:kern w:val="0"/>
          <w:sz w:val="24"/>
          <w:szCs w:val="24"/>
          <w:shd w:val="clear" w:color="auto" w:fill="FFFFFF"/>
        </w:rPr>
        <w:t>学生发展专委会真诚期待与全国各大中小学、教育院所、企业、机构等合作，为我国的学生发展教育做出有价值的贡献！</w:t>
      </w:r>
    </w:p>
    <w:p>
      <w:pPr>
        <w:spacing w:line="380" w:lineRule="exact"/>
        <w:jc w:val="center"/>
        <w:rPr>
          <w:b/>
          <w:bCs/>
          <w:sz w:val="32"/>
          <w:szCs w:val="32"/>
        </w:rPr>
      </w:pPr>
    </w:p>
    <w:p/>
    <w:p/>
    <w:p>
      <w:pPr>
        <w:rPr>
          <w:sz w:val="32"/>
          <w:szCs w:val="32"/>
        </w:rPr>
      </w:pPr>
    </w:p>
    <w:p>
      <w:pPr>
        <w:rPr>
          <w:sz w:val="32"/>
          <w:szCs w:val="32"/>
        </w:rPr>
      </w:pPr>
    </w:p>
    <w:p>
      <w:pPr>
        <w:rPr>
          <w:rFonts w:hint="eastAsia"/>
          <w:sz w:val="32"/>
          <w:szCs w:val="32"/>
        </w:rPr>
      </w:pPr>
    </w:p>
    <w:p>
      <w:r>
        <w:rPr>
          <w:rFonts w:hint="eastAsia"/>
          <w:sz w:val="32"/>
          <w:szCs w:val="32"/>
        </w:rPr>
        <w:t>附件二：</w:t>
      </w:r>
    </w:p>
    <w:p>
      <w:pPr>
        <w:spacing w:line="380" w:lineRule="exact"/>
        <w:jc w:val="center"/>
        <w:rPr>
          <w:rFonts w:ascii="黑体" w:hAnsi="黑体" w:eastAsia="黑体" w:cs="黑体"/>
          <w:b/>
          <w:color w:val="000000"/>
          <w:kern w:val="0"/>
          <w:sz w:val="28"/>
          <w:szCs w:val="28"/>
        </w:rPr>
      </w:pPr>
      <w:r>
        <w:rPr>
          <w:rFonts w:hint="eastAsia"/>
          <w:b/>
          <w:bCs/>
          <w:sz w:val="32"/>
          <w:szCs w:val="32"/>
        </w:rPr>
        <w:t>全国第四期高中“高考志愿咨询师”岗位能力培训</w:t>
      </w:r>
      <w:r>
        <w:rPr>
          <w:rFonts w:hint="eastAsia" w:ascii="宋体" w:hAnsi="宋体" w:eastAsia="宋体" w:cs="宋体"/>
          <w:b/>
          <w:bCs/>
          <w:sz w:val="30"/>
          <w:szCs w:val="30"/>
        </w:rPr>
        <w:t>报名表</w:t>
      </w:r>
    </w:p>
    <w:tbl>
      <w:tblPr>
        <w:tblStyle w:val="13"/>
        <w:tblpPr w:leftFromText="180" w:rightFromText="180" w:vertAnchor="text" w:tblpX="30" w:tblpY="129"/>
        <w:tblOverlap w:val="never"/>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225"/>
        <w:gridCol w:w="530"/>
        <w:gridCol w:w="885"/>
        <w:gridCol w:w="1750"/>
        <w:gridCol w:w="1620"/>
        <w:gridCol w:w="675"/>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930" w:type="dxa"/>
            <w:vAlign w:val="center"/>
          </w:tcPr>
          <w:p>
            <w:pPr>
              <w:jc w:val="center"/>
              <w:rPr>
                <w:sz w:val="24"/>
              </w:rPr>
            </w:pPr>
            <w:r>
              <w:rPr>
                <w:rFonts w:hint="eastAsia" w:ascii="仿宋_GB2312" w:hAnsi="仿宋_GB2312" w:eastAsia="仿宋_GB2312" w:cs="仿宋_GB2312"/>
                <w:sz w:val="24"/>
              </w:rPr>
              <w:t>单位</w:t>
            </w:r>
          </w:p>
        </w:tc>
        <w:tc>
          <w:tcPr>
            <w:tcW w:w="4390" w:type="dxa"/>
            <w:gridSpan w:val="4"/>
            <w:vAlign w:val="center"/>
          </w:tcPr>
          <w:p>
            <w:pPr>
              <w:jc w:val="center"/>
              <w:rPr>
                <w:sz w:val="24"/>
              </w:rPr>
            </w:pPr>
          </w:p>
        </w:tc>
        <w:tc>
          <w:tcPr>
            <w:tcW w:w="1620" w:type="dxa"/>
            <w:vAlign w:val="center"/>
          </w:tcPr>
          <w:p>
            <w:pPr>
              <w:jc w:val="center"/>
              <w:rPr>
                <w:sz w:val="24"/>
              </w:rPr>
            </w:pPr>
            <w:r>
              <w:rPr>
                <w:rFonts w:hint="eastAsia" w:ascii="仿宋_GB2312" w:hAnsi="仿宋_GB2312" w:eastAsia="仿宋_GB2312" w:cs="仿宋_GB2312"/>
                <w:sz w:val="24"/>
              </w:rPr>
              <w:t>电话</w:t>
            </w: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930" w:type="dxa"/>
            <w:vAlign w:val="center"/>
          </w:tcPr>
          <w:p>
            <w:pPr>
              <w:jc w:val="center"/>
              <w:rPr>
                <w:sz w:val="24"/>
              </w:rPr>
            </w:pPr>
            <w:r>
              <w:rPr>
                <w:rFonts w:hint="eastAsia" w:ascii="仿宋_GB2312" w:hAnsi="仿宋_GB2312" w:eastAsia="仿宋_GB2312" w:cs="仿宋_GB2312"/>
                <w:sz w:val="24"/>
              </w:rPr>
              <w:t>地址</w:t>
            </w:r>
          </w:p>
        </w:tc>
        <w:tc>
          <w:tcPr>
            <w:tcW w:w="4390" w:type="dxa"/>
            <w:gridSpan w:val="4"/>
            <w:vAlign w:val="center"/>
          </w:tcPr>
          <w:p>
            <w:pPr>
              <w:jc w:val="center"/>
              <w:rPr>
                <w:sz w:val="24"/>
              </w:rPr>
            </w:pPr>
          </w:p>
        </w:tc>
        <w:tc>
          <w:tcPr>
            <w:tcW w:w="1620" w:type="dxa"/>
            <w:vAlign w:val="center"/>
          </w:tcPr>
          <w:p>
            <w:pPr>
              <w:jc w:val="center"/>
              <w:rPr>
                <w:sz w:val="24"/>
              </w:rPr>
            </w:pPr>
            <w:r>
              <w:rPr>
                <w:rFonts w:hint="eastAsia" w:ascii="仿宋_GB2312" w:hAnsi="仿宋_GB2312" w:eastAsia="仿宋_GB2312" w:cs="仿宋_GB2312"/>
                <w:sz w:val="24"/>
              </w:rPr>
              <w:t>邮编</w:t>
            </w: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30" w:type="dxa"/>
            <w:vMerge w:val="restart"/>
            <w:vAlign w:val="center"/>
          </w:tcPr>
          <w:p>
            <w:pPr>
              <w:jc w:val="center"/>
              <w:rPr>
                <w:rFonts w:hint="eastAsia"/>
                <w:sz w:val="24"/>
                <w:lang w:eastAsia="zh-CN"/>
              </w:rPr>
            </w:pPr>
            <w:r>
              <w:rPr>
                <w:rFonts w:hint="eastAsia"/>
                <w:sz w:val="24"/>
                <w:lang w:eastAsia="zh-CN"/>
              </w:rPr>
              <w:t>带</w:t>
            </w:r>
          </w:p>
          <w:p>
            <w:pPr>
              <w:jc w:val="center"/>
              <w:rPr>
                <w:rFonts w:hint="eastAsia" w:eastAsiaTheme="minorEastAsia"/>
                <w:sz w:val="24"/>
                <w:lang w:eastAsia="zh-CN"/>
              </w:rPr>
            </w:pPr>
            <w:r>
              <w:rPr>
                <w:rFonts w:hint="eastAsia"/>
                <w:sz w:val="24"/>
                <w:lang w:eastAsia="zh-CN"/>
              </w:rPr>
              <w:t>队</w:t>
            </w:r>
          </w:p>
        </w:tc>
        <w:tc>
          <w:tcPr>
            <w:tcW w:w="1225" w:type="dxa"/>
            <w:vAlign w:val="center"/>
          </w:tcPr>
          <w:p>
            <w:pPr>
              <w:jc w:val="center"/>
              <w:rPr>
                <w:sz w:val="24"/>
              </w:rPr>
            </w:pPr>
            <w:r>
              <w:rPr>
                <w:rFonts w:hint="eastAsia" w:ascii="仿宋_GB2312" w:hAnsi="仿宋_GB2312" w:eastAsia="仿宋_GB2312" w:cs="仿宋_GB2312"/>
                <w:sz w:val="24"/>
              </w:rPr>
              <w:t>姓名</w:t>
            </w:r>
          </w:p>
        </w:tc>
        <w:tc>
          <w:tcPr>
            <w:tcW w:w="530" w:type="dxa"/>
            <w:vAlign w:val="center"/>
          </w:tcPr>
          <w:p>
            <w:pPr>
              <w:jc w:val="center"/>
              <w:rPr>
                <w:sz w:val="24"/>
              </w:rPr>
            </w:pPr>
            <w:r>
              <w:rPr>
                <w:rFonts w:hint="eastAsia" w:ascii="仿宋_GB2312" w:hAnsi="仿宋_GB2312" w:eastAsia="仿宋_GB2312" w:cs="仿宋_GB2312"/>
                <w:sz w:val="24"/>
              </w:rPr>
              <w:t>性别</w:t>
            </w:r>
          </w:p>
        </w:tc>
        <w:tc>
          <w:tcPr>
            <w:tcW w:w="885" w:type="dxa"/>
            <w:vAlign w:val="center"/>
          </w:tcPr>
          <w:p>
            <w:pPr>
              <w:jc w:val="center"/>
              <w:rPr>
                <w:sz w:val="24"/>
              </w:rPr>
            </w:pPr>
            <w:r>
              <w:rPr>
                <w:rFonts w:hint="eastAsia" w:ascii="仿宋_GB2312" w:hAnsi="仿宋_GB2312" w:eastAsia="仿宋_GB2312" w:cs="仿宋_GB2312"/>
                <w:sz w:val="24"/>
              </w:rPr>
              <w:t>职务</w:t>
            </w:r>
          </w:p>
        </w:tc>
        <w:tc>
          <w:tcPr>
            <w:tcW w:w="1750" w:type="dxa"/>
            <w:vAlign w:val="center"/>
          </w:tcPr>
          <w:p>
            <w:pPr>
              <w:jc w:val="center"/>
              <w:rPr>
                <w:sz w:val="24"/>
              </w:rPr>
            </w:pPr>
            <w:r>
              <w:rPr>
                <w:rFonts w:hint="eastAsia" w:ascii="仿宋_GB2312" w:hAnsi="仿宋_GB2312" w:eastAsia="仿宋_GB2312" w:cs="仿宋_GB2312"/>
                <w:sz w:val="24"/>
              </w:rPr>
              <w:t>电话</w:t>
            </w:r>
          </w:p>
        </w:tc>
        <w:tc>
          <w:tcPr>
            <w:tcW w:w="1620" w:type="dxa"/>
            <w:vAlign w:val="center"/>
          </w:tcPr>
          <w:p>
            <w:pPr>
              <w:jc w:val="center"/>
              <w:rPr>
                <w:sz w:val="24"/>
              </w:rPr>
            </w:pPr>
            <w:r>
              <w:rPr>
                <w:rFonts w:hint="eastAsia" w:ascii="仿宋_GB2312" w:hAnsi="仿宋_GB2312" w:eastAsia="仿宋_GB2312" w:cs="仿宋_GB2312"/>
                <w:sz w:val="24"/>
              </w:rPr>
              <w:t>手机</w:t>
            </w:r>
          </w:p>
        </w:tc>
        <w:tc>
          <w:tcPr>
            <w:tcW w:w="675" w:type="dxa"/>
            <w:vAlign w:val="center"/>
          </w:tcPr>
          <w:p>
            <w:pPr>
              <w:jc w:val="center"/>
              <w:rPr>
                <w:sz w:val="24"/>
              </w:rPr>
            </w:pPr>
            <w:r>
              <w:rPr>
                <w:rFonts w:hint="eastAsia"/>
                <w:sz w:val="24"/>
              </w:rPr>
              <w:t>QQ</w:t>
            </w:r>
          </w:p>
        </w:tc>
        <w:tc>
          <w:tcPr>
            <w:tcW w:w="2030"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sz w:val="24"/>
              </w:rPr>
            </w:pPr>
          </w:p>
        </w:tc>
        <w:tc>
          <w:tcPr>
            <w:tcW w:w="1225" w:type="dxa"/>
            <w:vAlign w:val="center"/>
          </w:tcPr>
          <w:p>
            <w:pPr>
              <w:jc w:val="center"/>
              <w:rPr>
                <w:sz w:val="24"/>
              </w:rPr>
            </w:pPr>
          </w:p>
        </w:tc>
        <w:tc>
          <w:tcPr>
            <w:tcW w:w="530" w:type="dxa"/>
            <w:vAlign w:val="center"/>
          </w:tcPr>
          <w:p>
            <w:pPr>
              <w:jc w:val="center"/>
              <w:rPr>
                <w:sz w:val="24"/>
              </w:rPr>
            </w:pPr>
          </w:p>
        </w:tc>
        <w:tc>
          <w:tcPr>
            <w:tcW w:w="885" w:type="dxa"/>
            <w:vAlign w:val="center"/>
          </w:tcPr>
          <w:p>
            <w:pPr>
              <w:jc w:val="center"/>
              <w:rPr>
                <w:sz w:val="24"/>
              </w:rPr>
            </w:pPr>
          </w:p>
        </w:tc>
        <w:tc>
          <w:tcPr>
            <w:tcW w:w="1750" w:type="dxa"/>
            <w:vAlign w:val="center"/>
          </w:tcPr>
          <w:p>
            <w:pPr>
              <w:jc w:val="center"/>
              <w:rPr>
                <w:sz w:val="24"/>
              </w:rPr>
            </w:pPr>
          </w:p>
        </w:tc>
        <w:tc>
          <w:tcPr>
            <w:tcW w:w="1620" w:type="dxa"/>
            <w:vAlign w:val="center"/>
          </w:tcPr>
          <w:p>
            <w:pPr>
              <w:jc w:val="center"/>
              <w:rPr>
                <w:sz w:val="24"/>
              </w:rPr>
            </w:pPr>
          </w:p>
        </w:tc>
        <w:tc>
          <w:tcPr>
            <w:tcW w:w="675" w:type="dxa"/>
            <w:vAlign w:val="center"/>
          </w:tcPr>
          <w:p>
            <w:pPr>
              <w:jc w:val="center"/>
              <w:rPr>
                <w:sz w:val="24"/>
              </w:rPr>
            </w:pPr>
            <w:r>
              <w:rPr>
                <w:rFonts w:hint="eastAsia" w:ascii="仿宋_GB2312" w:hAnsi="仿宋_GB2312" w:eastAsia="仿宋_GB2312" w:cs="仿宋_GB2312"/>
                <w:sz w:val="24"/>
              </w:rPr>
              <w:t>邮箱</w:t>
            </w:r>
          </w:p>
        </w:tc>
        <w:tc>
          <w:tcPr>
            <w:tcW w:w="203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restart"/>
            <w:vAlign w:val="center"/>
          </w:tcPr>
          <w:p>
            <w:pPr>
              <w:jc w:val="center"/>
              <w:rPr>
                <w:rFonts w:hint="eastAsia"/>
                <w:sz w:val="24"/>
                <w:lang w:eastAsia="zh-CN"/>
              </w:rPr>
            </w:pPr>
            <w:r>
              <w:rPr>
                <w:rFonts w:hint="eastAsia"/>
                <w:sz w:val="24"/>
                <w:lang w:eastAsia="zh-CN"/>
              </w:rPr>
              <w:t>参</w:t>
            </w:r>
          </w:p>
          <w:p>
            <w:pPr>
              <w:jc w:val="center"/>
              <w:rPr>
                <w:rFonts w:hint="eastAsia"/>
                <w:sz w:val="24"/>
                <w:lang w:eastAsia="zh-CN"/>
              </w:rPr>
            </w:pPr>
            <w:r>
              <w:rPr>
                <w:rFonts w:hint="eastAsia"/>
                <w:sz w:val="24"/>
                <w:lang w:eastAsia="zh-CN"/>
              </w:rPr>
              <w:t>会</w:t>
            </w:r>
          </w:p>
          <w:p>
            <w:pPr>
              <w:jc w:val="center"/>
              <w:rPr>
                <w:rFonts w:hint="eastAsia"/>
                <w:sz w:val="24"/>
                <w:lang w:eastAsia="zh-CN"/>
              </w:rPr>
            </w:pPr>
            <w:r>
              <w:rPr>
                <w:rFonts w:hint="eastAsia"/>
                <w:sz w:val="24"/>
                <w:lang w:eastAsia="zh-CN"/>
              </w:rPr>
              <w:t>教</w:t>
            </w:r>
          </w:p>
          <w:p>
            <w:pPr>
              <w:jc w:val="center"/>
              <w:rPr>
                <w:rFonts w:hint="eastAsia" w:eastAsiaTheme="minorEastAsia"/>
                <w:sz w:val="24"/>
                <w:lang w:eastAsia="zh-CN"/>
              </w:rPr>
            </w:pPr>
            <w:r>
              <w:rPr>
                <w:rFonts w:hint="eastAsia"/>
                <w:sz w:val="24"/>
                <w:lang w:eastAsia="zh-CN"/>
              </w:rPr>
              <w:t>师</w:t>
            </w:r>
          </w:p>
        </w:tc>
        <w:tc>
          <w:tcPr>
            <w:tcW w:w="1225" w:type="dxa"/>
            <w:vAlign w:val="center"/>
          </w:tcPr>
          <w:p>
            <w:pPr>
              <w:jc w:val="center"/>
              <w:rPr>
                <w:sz w:val="24"/>
              </w:rPr>
            </w:pPr>
          </w:p>
        </w:tc>
        <w:tc>
          <w:tcPr>
            <w:tcW w:w="530" w:type="dxa"/>
            <w:vAlign w:val="center"/>
          </w:tcPr>
          <w:p>
            <w:pPr>
              <w:jc w:val="center"/>
              <w:rPr>
                <w:sz w:val="24"/>
              </w:rPr>
            </w:pPr>
          </w:p>
        </w:tc>
        <w:tc>
          <w:tcPr>
            <w:tcW w:w="885" w:type="dxa"/>
            <w:vAlign w:val="center"/>
          </w:tcPr>
          <w:p>
            <w:pPr>
              <w:jc w:val="center"/>
              <w:rPr>
                <w:sz w:val="24"/>
              </w:rPr>
            </w:pPr>
          </w:p>
        </w:tc>
        <w:tc>
          <w:tcPr>
            <w:tcW w:w="1750" w:type="dxa"/>
            <w:vAlign w:val="center"/>
          </w:tcPr>
          <w:p>
            <w:pPr>
              <w:jc w:val="center"/>
              <w:rPr>
                <w:sz w:val="24"/>
              </w:rPr>
            </w:pPr>
          </w:p>
        </w:tc>
        <w:tc>
          <w:tcPr>
            <w:tcW w:w="1620" w:type="dxa"/>
            <w:vAlign w:val="center"/>
          </w:tcPr>
          <w:p>
            <w:pPr>
              <w:jc w:val="center"/>
              <w:rPr>
                <w:sz w:val="24"/>
              </w:rPr>
            </w:pP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sz w:val="24"/>
              </w:rPr>
            </w:pPr>
          </w:p>
        </w:tc>
        <w:tc>
          <w:tcPr>
            <w:tcW w:w="1225" w:type="dxa"/>
            <w:vAlign w:val="center"/>
          </w:tcPr>
          <w:p>
            <w:pPr>
              <w:jc w:val="center"/>
              <w:rPr>
                <w:sz w:val="24"/>
              </w:rPr>
            </w:pPr>
          </w:p>
        </w:tc>
        <w:tc>
          <w:tcPr>
            <w:tcW w:w="530" w:type="dxa"/>
            <w:vAlign w:val="center"/>
          </w:tcPr>
          <w:p>
            <w:pPr>
              <w:jc w:val="center"/>
              <w:rPr>
                <w:sz w:val="24"/>
              </w:rPr>
            </w:pPr>
          </w:p>
        </w:tc>
        <w:tc>
          <w:tcPr>
            <w:tcW w:w="885" w:type="dxa"/>
            <w:vAlign w:val="center"/>
          </w:tcPr>
          <w:p>
            <w:pPr>
              <w:jc w:val="center"/>
              <w:rPr>
                <w:sz w:val="24"/>
              </w:rPr>
            </w:pPr>
          </w:p>
        </w:tc>
        <w:tc>
          <w:tcPr>
            <w:tcW w:w="1750" w:type="dxa"/>
            <w:vAlign w:val="center"/>
          </w:tcPr>
          <w:p>
            <w:pPr>
              <w:jc w:val="center"/>
              <w:rPr>
                <w:sz w:val="24"/>
              </w:rPr>
            </w:pPr>
          </w:p>
        </w:tc>
        <w:tc>
          <w:tcPr>
            <w:tcW w:w="1620" w:type="dxa"/>
            <w:vAlign w:val="center"/>
          </w:tcPr>
          <w:p>
            <w:pPr>
              <w:jc w:val="center"/>
              <w:rPr>
                <w:sz w:val="24"/>
              </w:rPr>
            </w:pP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sz w:val="24"/>
              </w:rPr>
            </w:pPr>
          </w:p>
        </w:tc>
        <w:tc>
          <w:tcPr>
            <w:tcW w:w="1225" w:type="dxa"/>
            <w:vAlign w:val="center"/>
          </w:tcPr>
          <w:p>
            <w:pPr>
              <w:jc w:val="center"/>
              <w:rPr>
                <w:sz w:val="24"/>
              </w:rPr>
            </w:pPr>
          </w:p>
        </w:tc>
        <w:tc>
          <w:tcPr>
            <w:tcW w:w="530" w:type="dxa"/>
            <w:vAlign w:val="center"/>
          </w:tcPr>
          <w:p>
            <w:pPr>
              <w:jc w:val="center"/>
              <w:rPr>
                <w:sz w:val="24"/>
              </w:rPr>
            </w:pPr>
          </w:p>
        </w:tc>
        <w:tc>
          <w:tcPr>
            <w:tcW w:w="885" w:type="dxa"/>
            <w:vAlign w:val="center"/>
          </w:tcPr>
          <w:p>
            <w:pPr>
              <w:jc w:val="center"/>
              <w:rPr>
                <w:sz w:val="24"/>
              </w:rPr>
            </w:pPr>
          </w:p>
        </w:tc>
        <w:tc>
          <w:tcPr>
            <w:tcW w:w="1750" w:type="dxa"/>
            <w:vAlign w:val="center"/>
          </w:tcPr>
          <w:p>
            <w:pPr>
              <w:jc w:val="center"/>
              <w:rPr>
                <w:sz w:val="24"/>
              </w:rPr>
            </w:pPr>
          </w:p>
        </w:tc>
        <w:tc>
          <w:tcPr>
            <w:tcW w:w="1620" w:type="dxa"/>
            <w:vAlign w:val="center"/>
          </w:tcPr>
          <w:p>
            <w:pPr>
              <w:jc w:val="center"/>
              <w:rPr>
                <w:sz w:val="24"/>
              </w:rPr>
            </w:pP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sz w:val="24"/>
              </w:rPr>
            </w:pPr>
          </w:p>
        </w:tc>
        <w:tc>
          <w:tcPr>
            <w:tcW w:w="1225" w:type="dxa"/>
            <w:vAlign w:val="center"/>
          </w:tcPr>
          <w:p>
            <w:pPr>
              <w:jc w:val="center"/>
              <w:rPr>
                <w:sz w:val="24"/>
              </w:rPr>
            </w:pPr>
          </w:p>
        </w:tc>
        <w:tc>
          <w:tcPr>
            <w:tcW w:w="530" w:type="dxa"/>
            <w:vAlign w:val="center"/>
          </w:tcPr>
          <w:p>
            <w:pPr>
              <w:jc w:val="center"/>
              <w:rPr>
                <w:sz w:val="24"/>
              </w:rPr>
            </w:pPr>
          </w:p>
        </w:tc>
        <w:tc>
          <w:tcPr>
            <w:tcW w:w="885" w:type="dxa"/>
            <w:vAlign w:val="center"/>
          </w:tcPr>
          <w:p>
            <w:pPr>
              <w:jc w:val="center"/>
              <w:rPr>
                <w:sz w:val="24"/>
              </w:rPr>
            </w:pPr>
          </w:p>
        </w:tc>
        <w:tc>
          <w:tcPr>
            <w:tcW w:w="1750" w:type="dxa"/>
            <w:vAlign w:val="center"/>
          </w:tcPr>
          <w:p>
            <w:pPr>
              <w:jc w:val="center"/>
              <w:rPr>
                <w:sz w:val="24"/>
              </w:rPr>
            </w:pPr>
          </w:p>
        </w:tc>
        <w:tc>
          <w:tcPr>
            <w:tcW w:w="1620" w:type="dxa"/>
            <w:vAlign w:val="center"/>
          </w:tcPr>
          <w:p>
            <w:pPr>
              <w:jc w:val="center"/>
              <w:rPr>
                <w:sz w:val="24"/>
              </w:rPr>
            </w:pP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sz w:val="24"/>
              </w:rPr>
            </w:pPr>
          </w:p>
        </w:tc>
        <w:tc>
          <w:tcPr>
            <w:tcW w:w="1225" w:type="dxa"/>
            <w:vAlign w:val="center"/>
          </w:tcPr>
          <w:p>
            <w:pPr>
              <w:jc w:val="center"/>
              <w:rPr>
                <w:sz w:val="24"/>
              </w:rPr>
            </w:pPr>
          </w:p>
        </w:tc>
        <w:tc>
          <w:tcPr>
            <w:tcW w:w="530" w:type="dxa"/>
            <w:vAlign w:val="center"/>
          </w:tcPr>
          <w:p>
            <w:pPr>
              <w:jc w:val="center"/>
              <w:rPr>
                <w:sz w:val="24"/>
              </w:rPr>
            </w:pPr>
          </w:p>
        </w:tc>
        <w:tc>
          <w:tcPr>
            <w:tcW w:w="885" w:type="dxa"/>
            <w:vAlign w:val="center"/>
          </w:tcPr>
          <w:p>
            <w:pPr>
              <w:jc w:val="center"/>
              <w:rPr>
                <w:sz w:val="24"/>
              </w:rPr>
            </w:pPr>
          </w:p>
        </w:tc>
        <w:tc>
          <w:tcPr>
            <w:tcW w:w="1750" w:type="dxa"/>
            <w:vAlign w:val="center"/>
          </w:tcPr>
          <w:p>
            <w:pPr>
              <w:jc w:val="center"/>
              <w:rPr>
                <w:sz w:val="24"/>
              </w:rPr>
            </w:pPr>
          </w:p>
        </w:tc>
        <w:tc>
          <w:tcPr>
            <w:tcW w:w="1620" w:type="dxa"/>
            <w:vAlign w:val="center"/>
          </w:tcPr>
          <w:p>
            <w:pPr>
              <w:jc w:val="center"/>
              <w:rPr>
                <w:sz w:val="24"/>
              </w:rPr>
            </w:pP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sz w:val="24"/>
              </w:rPr>
            </w:pPr>
          </w:p>
        </w:tc>
        <w:tc>
          <w:tcPr>
            <w:tcW w:w="1225" w:type="dxa"/>
            <w:vAlign w:val="center"/>
          </w:tcPr>
          <w:p>
            <w:pPr>
              <w:jc w:val="center"/>
              <w:rPr>
                <w:sz w:val="24"/>
              </w:rPr>
            </w:pPr>
          </w:p>
        </w:tc>
        <w:tc>
          <w:tcPr>
            <w:tcW w:w="530" w:type="dxa"/>
            <w:vAlign w:val="center"/>
          </w:tcPr>
          <w:p>
            <w:pPr>
              <w:jc w:val="center"/>
              <w:rPr>
                <w:sz w:val="24"/>
              </w:rPr>
            </w:pPr>
          </w:p>
        </w:tc>
        <w:tc>
          <w:tcPr>
            <w:tcW w:w="885" w:type="dxa"/>
            <w:vAlign w:val="center"/>
          </w:tcPr>
          <w:p>
            <w:pPr>
              <w:jc w:val="center"/>
              <w:rPr>
                <w:sz w:val="24"/>
              </w:rPr>
            </w:pPr>
          </w:p>
        </w:tc>
        <w:tc>
          <w:tcPr>
            <w:tcW w:w="1750" w:type="dxa"/>
            <w:vAlign w:val="center"/>
          </w:tcPr>
          <w:p>
            <w:pPr>
              <w:jc w:val="center"/>
              <w:rPr>
                <w:sz w:val="24"/>
              </w:rPr>
            </w:pPr>
          </w:p>
        </w:tc>
        <w:tc>
          <w:tcPr>
            <w:tcW w:w="1620" w:type="dxa"/>
            <w:vAlign w:val="center"/>
          </w:tcPr>
          <w:p>
            <w:pPr>
              <w:jc w:val="center"/>
              <w:rPr>
                <w:sz w:val="24"/>
              </w:rPr>
            </w:pP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930" w:type="dxa"/>
            <w:vAlign w:val="center"/>
          </w:tcPr>
          <w:p>
            <w:pPr>
              <w:jc w:val="center"/>
              <w:rPr>
                <w:sz w:val="24"/>
              </w:rPr>
            </w:pPr>
            <w:r>
              <w:rPr>
                <w:rFonts w:hint="eastAsia" w:ascii="仿宋_GB2312" w:hAnsi="仿宋_GB2312" w:eastAsia="仿宋_GB2312" w:cs="仿宋_GB2312"/>
                <w:sz w:val="24"/>
              </w:rPr>
              <w:t>汇款方式</w:t>
            </w:r>
          </w:p>
        </w:tc>
        <w:tc>
          <w:tcPr>
            <w:tcW w:w="8715" w:type="dxa"/>
            <w:gridSpan w:val="7"/>
            <w:vAlign w:val="center"/>
          </w:tcPr>
          <w:p>
            <w:pPr>
              <w:rPr>
                <w:rFonts w:ascii="仿宋_GB2312" w:hAnsi="仿宋_GB2312" w:eastAsia="仿宋_GB2312" w:cs="仿宋_GB2312"/>
                <w:sz w:val="24"/>
              </w:rPr>
            </w:pPr>
            <w:r>
              <w:rPr>
                <w:rFonts w:hint="eastAsia" w:ascii="仿宋_GB2312" w:hAnsi="仿宋_GB2312" w:eastAsia="仿宋_GB2312" w:cs="仿宋_GB2312"/>
                <w:sz w:val="24"/>
              </w:rPr>
              <w:t>开户银行：中国工商银行北京琉璃厂支行</w:t>
            </w:r>
          </w:p>
          <w:p>
            <w:pPr>
              <w:rPr>
                <w:rFonts w:ascii="仿宋_GB2312" w:hAnsi="仿宋_GB2312" w:eastAsia="仿宋_GB2312" w:cs="仿宋_GB2312"/>
                <w:sz w:val="24"/>
              </w:rPr>
            </w:pPr>
            <w:r>
              <w:rPr>
                <w:rFonts w:hint="eastAsia" w:ascii="仿宋_GB2312" w:hAnsi="仿宋_GB2312" w:eastAsia="仿宋_GB2312" w:cs="仿宋_GB2312"/>
                <w:sz w:val="24"/>
              </w:rPr>
              <w:t xml:space="preserve">帐户名称：北京铭仕轩教育咨询中心 </w:t>
            </w:r>
          </w:p>
          <w:p>
            <w:pPr>
              <w:rPr>
                <w:rFonts w:hint="eastAsia" w:ascii="仿宋_GB2312" w:hAnsi="仿宋_GB2312" w:eastAsia="仿宋_GB2312" w:cs="仿宋_GB2312"/>
                <w:sz w:val="24"/>
              </w:rPr>
            </w:pPr>
            <w:r>
              <w:rPr>
                <w:rFonts w:hint="eastAsia" w:ascii="仿宋_GB2312" w:hAnsi="仿宋_GB2312" w:eastAsia="仿宋_GB2312" w:cs="仿宋_GB2312"/>
                <w:sz w:val="24"/>
              </w:rPr>
              <w:t>帐    号：0200 0080 0920 0037 401</w:t>
            </w: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930" w:type="dxa"/>
            <w:vAlign w:val="center"/>
          </w:tcPr>
          <w:p>
            <w:pPr>
              <w:jc w:val="center"/>
              <w:rPr>
                <w:sz w:val="24"/>
              </w:rPr>
            </w:pPr>
            <w:r>
              <w:rPr>
                <w:rFonts w:hint="eastAsia" w:ascii="仿宋_GB2312" w:hAnsi="仿宋_GB2312" w:eastAsia="仿宋_GB2312" w:cs="仿宋_GB2312"/>
                <w:sz w:val="24"/>
              </w:rPr>
              <w:t>住宿要求</w:t>
            </w:r>
          </w:p>
        </w:tc>
        <w:tc>
          <w:tcPr>
            <w:tcW w:w="8715" w:type="dxa"/>
            <w:gridSpan w:val="7"/>
            <w:vAlign w:val="center"/>
          </w:tcPr>
          <w:p>
            <w:pPr>
              <w:spacing w:line="360" w:lineRule="auto"/>
              <w:rPr>
                <w:rFonts w:ascii="仿宋_GB2312" w:eastAsia="仿宋_GB2312" w:cs="仿宋_GB2312"/>
                <w:sz w:val="24"/>
              </w:rPr>
            </w:pPr>
            <w:r>
              <w:rPr>
                <w:rFonts w:hint="eastAsia" w:ascii="仿宋_GB2312" w:eastAsia="仿宋_GB2312" w:cs="仿宋_GB2312"/>
                <w:sz w:val="24"/>
              </w:rPr>
              <w:t>会议地点：</w:t>
            </w:r>
            <w:r>
              <w:rPr>
                <w:rFonts w:hint="eastAsia" w:ascii="仿宋_GB2312" w:eastAsia="仿宋_GB2312" w:cs="仿宋_GB2312"/>
                <w:sz w:val="24"/>
                <w:lang w:eastAsia="zh-CN"/>
              </w:rPr>
              <w:t>北京</w:t>
            </w:r>
          </w:p>
          <w:p>
            <w:pPr>
              <w:spacing w:line="360" w:lineRule="auto"/>
              <w:rPr>
                <w:rFonts w:ascii="仿宋_GB2312" w:eastAsia="仿宋_GB2312" w:cs="仿宋_GB2312"/>
                <w:sz w:val="24"/>
                <w:u w:val="single"/>
              </w:rPr>
            </w:pPr>
            <w:r>
              <w:rPr>
                <w:rFonts w:hint="eastAsia" w:ascii="仿宋_GB2312" w:eastAsia="仿宋_GB2312" w:cs="仿宋_GB2312"/>
                <w:sz w:val="24"/>
              </w:rPr>
              <w:t>若预定酒店，请注明：入住时间</w:t>
            </w:r>
            <w:r>
              <w:rPr>
                <w:rFonts w:ascii="仿宋_GB2312" w:eastAsia="仿宋_GB2312" w:cs="仿宋_GB2312"/>
                <w:sz w:val="24"/>
                <w:u w:val="single"/>
              </w:rPr>
              <w:t xml:space="preserve">           </w:t>
            </w:r>
            <w:r>
              <w:rPr>
                <w:rFonts w:hint="eastAsia" w:ascii="仿宋_GB2312" w:eastAsia="仿宋_GB2312" w:cs="仿宋_GB2312"/>
                <w:sz w:val="24"/>
              </w:rPr>
              <w:t>入住天数</w:t>
            </w:r>
            <w:r>
              <w:rPr>
                <w:rFonts w:ascii="仿宋_GB2312" w:eastAsia="仿宋_GB2312" w:cs="仿宋_GB2312"/>
                <w:sz w:val="24"/>
                <w:u w:val="single"/>
              </w:rPr>
              <w:t xml:space="preserve">         </w:t>
            </w:r>
          </w:p>
          <w:p>
            <w:pPr>
              <w:jc w:val="center"/>
              <w:rPr>
                <w:sz w:val="24"/>
              </w:rPr>
            </w:pPr>
            <w:r>
              <w:rPr>
                <w:rFonts w:hint="eastAsia" w:ascii="仿宋_GB2312" w:eastAsia="仿宋_GB2312" w:cs="仿宋_GB2312"/>
                <w:sz w:val="24"/>
              </w:rPr>
              <w:t>预定间数</w:t>
            </w:r>
            <w:r>
              <w:rPr>
                <w:rFonts w:ascii="仿宋_GB2312" w:eastAsia="仿宋_GB2312" w:cs="仿宋_GB2312"/>
                <w:sz w:val="24"/>
                <w:u w:val="single"/>
              </w:rPr>
              <w:t xml:space="preserve">         </w:t>
            </w:r>
            <w:r>
              <w:rPr>
                <w:rFonts w:hint="eastAsia" w:ascii="仿宋_GB2312" w:eastAsia="仿宋_GB2312" w:cs="仿宋_GB2312"/>
                <w:sz w:val="24"/>
              </w:rPr>
              <w:t>（预定双人间□</w:t>
            </w:r>
            <w:r>
              <w:rPr>
                <w:rFonts w:ascii="仿宋_GB2312" w:eastAsia="仿宋_GB2312" w:cs="仿宋_GB2312"/>
                <w:sz w:val="24"/>
              </w:rPr>
              <w:t>,</w:t>
            </w:r>
            <w:r>
              <w:rPr>
                <w:rFonts w:hint="eastAsia" w:ascii="仿宋_GB2312" w:eastAsia="仿宋_GB2312" w:cs="仿宋_GB2312"/>
                <w:sz w:val="24"/>
              </w:rPr>
              <w:t>单人间□，可否合住□）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trPr>
        <w:tc>
          <w:tcPr>
            <w:tcW w:w="930" w:type="dxa"/>
            <w:vAlign w:val="center"/>
          </w:tcPr>
          <w:p>
            <w:pPr>
              <w:jc w:val="center"/>
              <w:rPr>
                <w:sz w:val="24"/>
              </w:rPr>
            </w:pPr>
            <w:r>
              <w:rPr>
                <w:rFonts w:hint="eastAsia" w:ascii="仿宋_GB2312" w:hAnsi="仿宋_GB2312" w:eastAsia="仿宋_GB2312" w:cs="仿宋_GB2312"/>
                <w:sz w:val="24"/>
              </w:rPr>
              <w:t>单位意见</w:t>
            </w:r>
          </w:p>
        </w:tc>
        <w:tc>
          <w:tcPr>
            <w:tcW w:w="8715" w:type="dxa"/>
            <w:gridSpan w:val="7"/>
            <w:vAlign w:val="center"/>
          </w:tcPr>
          <w:p>
            <w:pPr>
              <w:jc w:val="left"/>
              <w:rPr>
                <w:rFonts w:ascii="仿宋_GB2312" w:eastAsia="仿宋_GB2312" w:cs="仿宋_GB2312"/>
                <w:sz w:val="24"/>
              </w:rPr>
            </w:pPr>
            <w:r>
              <w:rPr>
                <w:rFonts w:hint="eastAsia" w:ascii="仿宋_GB2312" w:hAnsi="仿宋_GB2312" w:eastAsia="仿宋_GB2312" w:cs="仿宋_GB2312"/>
                <w:szCs w:val="21"/>
              </w:rPr>
              <w:t xml:space="preserve">    </w:t>
            </w:r>
            <w:r>
              <w:rPr>
                <w:rFonts w:hint="eastAsia" w:ascii="仿宋_GB2312" w:eastAsia="仿宋_GB2312" w:cs="仿宋_GB2312"/>
                <w:sz w:val="24"/>
              </w:rPr>
              <w:t>我单位同意选派以上  位老师参加   月   日   高考志愿咨询师岗位能力培训                                       单位盖章</w:t>
            </w:r>
          </w:p>
          <w:p>
            <w:pPr>
              <w:jc w:val="left"/>
              <w:rPr>
                <w:szCs w:val="21"/>
              </w:rPr>
            </w:pPr>
            <w:r>
              <w:rPr>
                <w:rFonts w:hint="eastAsia" w:ascii="仿宋_GB2312" w:eastAsia="仿宋_GB2312" w:cs="仿宋_GB2312"/>
                <w:sz w:val="24"/>
              </w:rPr>
              <w:t xml:space="preserve">                                      年   月   日     </w:t>
            </w:r>
            <w:r>
              <w:rPr>
                <w:rFonts w:hint="eastAsia"/>
                <w:szCs w:val="21"/>
              </w:rPr>
              <w:t xml:space="preserve">        </w:t>
            </w:r>
          </w:p>
        </w:tc>
      </w:tr>
    </w:tbl>
    <w:p>
      <w:pPr>
        <w:spacing w:line="380" w:lineRule="exact"/>
        <w:rPr>
          <w:rFonts w:ascii="楷体_GB2312" w:hAnsi="楷体_GB2312" w:eastAsia="楷体_GB2312" w:cs="楷体_GB2312"/>
          <w:sz w:val="28"/>
          <w:szCs w:val="28"/>
        </w:rPr>
      </w:pPr>
    </w:p>
    <w:p/>
    <w:sectPr>
      <w:pgSz w:w="11906" w:h="16838"/>
      <w:pgMar w:top="1270" w:right="1274" w:bottom="1270" w:left="12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D68F5"/>
    <w:multiLevelType w:val="singleLevel"/>
    <w:tmpl w:val="589D68F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A0"/>
    <w:rsid w:val="00045748"/>
    <w:rsid w:val="00081B9B"/>
    <w:rsid w:val="00094687"/>
    <w:rsid w:val="000B583B"/>
    <w:rsid w:val="000D1970"/>
    <w:rsid w:val="0011012E"/>
    <w:rsid w:val="00131442"/>
    <w:rsid w:val="001A1C95"/>
    <w:rsid w:val="001A7103"/>
    <w:rsid w:val="001B64E7"/>
    <w:rsid w:val="001D6A13"/>
    <w:rsid w:val="00216B72"/>
    <w:rsid w:val="002266A0"/>
    <w:rsid w:val="003B6180"/>
    <w:rsid w:val="003D6C30"/>
    <w:rsid w:val="003D7A05"/>
    <w:rsid w:val="00422E38"/>
    <w:rsid w:val="0042677B"/>
    <w:rsid w:val="004F2F9C"/>
    <w:rsid w:val="00505826"/>
    <w:rsid w:val="00515BE2"/>
    <w:rsid w:val="00527A87"/>
    <w:rsid w:val="005334D6"/>
    <w:rsid w:val="00544CEB"/>
    <w:rsid w:val="00564985"/>
    <w:rsid w:val="00621A6A"/>
    <w:rsid w:val="00636951"/>
    <w:rsid w:val="007B2E31"/>
    <w:rsid w:val="007B5F6C"/>
    <w:rsid w:val="00845D4F"/>
    <w:rsid w:val="00896F92"/>
    <w:rsid w:val="008E6FB1"/>
    <w:rsid w:val="009A1A63"/>
    <w:rsid w:val="00A277F9"/>
    <w:rsid w:val="00AA02F4"/>
    <w:rsid w:val="00B701F7"/>
    <w:rsid w:val="00C34114"/>
    <w:rsid w:val="00C459A9"/>
    <w:rsid w:val="00C46C0F"/>
    <w:rsid w:val="00CE7576"/>
    <w:rsid w:val="00D15423"/>
    <w:rsid w:val="00D64D4D"/>
    <w:rsid w:val="00DD269A"/>
    <w:rsid w:val="00DF465D"/>
    <w:rsid w:val="00E54E7A"/>
    <w:rsid w:val="00F01C7F"/>
    <w:rsid w:val="00F27641"/>
    <w:rsid w:val="00F30691"/>
    <w:rsid w:val="00FC152E"/>
    <w:rsid w:val="023801D6"/>
    <w:rsid w:val="03BB7518"/>
    <w:rsid w:val="03D86506"/>
    <w:rsid w:val="044A45F3"/>
    <w:rsid w:val="048C7679"/>
    <w:rsid w:val="058A4660"/>
    <w:rsid w:val="05A818B1"/>
    <w:rsid w:val="06690572"/>
    <w:rsid w:val="09FB15BC"/>
    <w:rsid w:val="0CA35FDC"/>
    <w:rsid w:val="0E3D622F"/>
    <w:rsid w:val="11122829"/>
    <w:rsid w:val="124E2A89"/>
    <w:rsid w:val="12F85F32"/>
    <w:rsid w:val="130876A7"/>
    <w:rsid w:val="152D1B5C"/>
    <w:rsid w:val="165966B6"/>
    <w:rsid w:val="193C6348"/>
    <w:rsid w:val="1BED024F"/>
    <w:rsid w:val="1D015734"/>
    <w:rsid w:val="1D89742B"/>
    <w:rsid w:val="1E9B3389"/>
    <w:rsid w:val="1ED049DC"/>
    <w:rsid w:val="1F15338E"/>
    <w:rsid w:val="233F1365"/>
    <w:rsid w:val="252332D5"/>
    <w:rsid w:val="25B1454C"/>
    <w:rsid w:val="266F57DF"/>
    <w:rsid w:val="268C4AB5"/>
    <w:rsid w:val="27B17836"/>
    <w:rsid w:val="29C528E5"/>
    <w:rsid w:val="29DB28BE"/>
    <w:rsid w:val="2A096EF4"/>
    <w:rsid w:val="2E0D781F"/>
    <w:rsid w:val="2E730DE0"/>
    <w:rsid w:val="2F1D6B38"/>
    <w:rsid w:val="30802088"/>
    <w:rsid w:val="31230CAC"/>
    <w:rsid w:val="312460A5"/>
    <w:rsid w:val="3244044E"/>
    <w:rsid w:val="32CC71D1"/>
    <w:rsid w:val="35A062C5"/>
    <w:rsid w:val="384C4046"/>
    <w:rsid w:val="38DE5537"/>
    <w:rsid w:val="38E4106D"/>
    <w:rsid w:val="39166D04"/>
    <w:rsid w:val="397E2009"/>
    <w:rsid w:val="3A0323BE"/>
    <w:rsid w:val="3D5C5FF2"/>
    <w:rsid w:val="410E5B5D"/>
    <w:rsid w:val="41497FEA"/>
    <w:rsid w:val="44B610B7"/>
    <w:rsid w:val="4685378B"/>
    <w:rsid w:val="47B379F2"/>
    <w:rsid w:val="4CF82556"/>
    <w:rsid w:val="4E077249"/>
    <w:rsid w:val="4E555FB7"/>
    <w:rsid w:val="4EF75743"/>
    <w:rsid w:val="4EF87158"/>
    <w:rsid w:val="500412E3"/>
    <w:rsid w:val="51B90996"/>
    <w:rsid w:val="52EE216D"/>
    <w:rsid w:val="54A5301D"/>
    <w:rsid w:val="550F7471"/>
    <w:rsid w:val="55ED3109"/>
    <w:rsid w:val="593352C2"/>
    <w:rsid w:val="5AEE7AC8"/>
    <w:rsid w:val="5D027D5C"/>
    <w:rsid w:val="5D714A69"/>
    <w:rsid w:val="5DAE7C42"/>
    <w:rsid w:val="61D21C9A"/>
    <w:rsid w:val="62C86C44"/>
    <w:rsid w:val="67E53502"/>
    <w:rsid w:val="68C95AB6"/>
    <w:rsid w:val="68F51F63"/>
    <w:rsid w:val="69342E7D"/>
    <w:rsid w:val="6A4D0225"/>
    <w:rsid w:val="6F04799A"/>
    <w:rsid w:val="6F3E61B9"/>
    <w:rsid w:val="6F741EA4"/>
    <w:rsid w:val="6F7B597A"/>
    <w:rsid w:val="6F83227B"/>
    <w:rsid w:val="70871527"/>
    <w:rsid w:val="71C12E1F"/>
    <w:rsid w:val="71FE067D"/>
    <w:rsid w:val="74AE30F7"/>
    <w:rsid w:val="77A76238"/>
    <w:rsid w:val="79CB56EA"/>
    <w:rsid w:val="7CD15255"/>
    <w:rsid w:val="7DB51CFC"/>
    <w:rsid w:val="7DF835BC"/>
    <w:rsid w:val="7E344549"/>
    <w:rsid w:val="7EA37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4"/>
    <w:basedOn w:val="1"/>
    <w:next w:val="1"/>
    <w:unhideWhenUsed/>
    <w:qFormat/>
    <w:uiPriority w:val="9"/>
    <w:pPr>
      <w:spacing w:beforeAutospacing="1" w:afterAutospacing="1"/>
      <w:jc w:val="left"/>
      <w:outlineLvl w:val="3"/>
    </w:pPr>
    <w:rPr>
      <w:rFonts w:hint="eastAsia" w:ascii="宋体" w:hAnsi="宋体" w:eastAsia="宋体" w:cs="Times New Roman"/>
      <w:b/>
      <w:kern w:val="0"/>
      <w:sz w:val="24"/>
      <w:szCs w:val="24"/>
    </w:rPr>
  </w:style>
  <w:style w:type="character" w:default="1" w:styleId="8">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9"/>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Emphasis"/>
    <w:basedOn w:val="8"/>
    <w:qFormat/>
    <w:uiPriority w:val="20"/>
    <w:rPr>
      <w:i/>
      <w:iCs/>
    </w:rPr>
  </w:style>
  <w:style w:type="character" w:styleId="11">
    <w:name w:val="Hyperlink"/>
    <w:basedOn w:val="8"/>
    <w:unhideWhenUsed/>
    <w:qFormat/>
    <w:uiPriority w:val="99"/>
    <w:rPr>
      <w:color w:val="0000FF"/>
      <w:u w:val="single"/>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8"/>
    <w:link w:val="6"/>
    <w:qFormat/>
    <w:uiPriority w:val="99"/>
    <w:rPr>
      <w:sz w:val="18"/>
      <w:szCs w:val="18"/>
    </w:rPr>
  </w:style>
  <w:style w:type="character" w:customStyle="1" w:styleId="15">
    <w:name w:val="页脚 Char"/>
    <w:basedOn w:val="8"/>
    <w:link w:val="5"/>
    <w:qFormat/>
    <w:uiPriority w:val="99"/>
    <w:rPr>
      <w:sz w:val="18"/>
      <w:szCs w:val="18"/>
    </w:rPr>
  </w:style>
  <w:style w:type="character" w:customStyle="1" w:styleId="16">
    <w:name w:val="标题 2 Char"/>
    <w:basedOn w:val="8"/>
    <w:link w:val="2"/>
    <w:qFormat/>
    <w:uiPriority w:val="9"/>
    <w:rPr>
      <w:rFonts w:ascii="宋体" w:hAnsi="宋体" w:eastAsia="宋体" w:cs="宋体"/>
      <w:b/>
      <w:bCs/>
      <w:kern w:val="0"/>
      <w:sz w:val="36"/>
      <w:szCs w:val="36"/>
    </w:rPr>
  </w:style>
  <w:style w:type="character" w:customStyle="1" w:styleId="17">
    <w:name w:val="apple-converted-space"/>
    <w:basedOn w:val="8"/>
    <w:qFormat/>
    <w:uiPriority w:val="0"/>
  </w:style>
  <w:style w:type="character" w:customStyle="1" w:styleId="18">
    <w:name w:val="praise_num"/>
    <w:basedOn w:val="8"/>
    <w:qFormat/>
    <w:uiPriority w:val="0"/>
  </w:style>
  <w:style w:type="character" w:customStyle="1" w:styleId="19">
    <w:name w:val="批注框文本 Char"/>
    <w:basedOn w:val="8"/>
    <w:link w:val="4"/>
    <w:semiHidden/>
    <w:qFormat/>
    <w:uiPriority w:val="99"/>
    <w:rPr>
      <w:sz w:val="18"/>
      <w:szCs w:val="18"/>
    </w:rPr>
  </w:style>
  <w:style w:type="character" w:customStyle="1" w:styleId="20">
    <w:name w:val="txt-block gray"/>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02444D-23CC-4C2E-B501-98AA0E362FAC}">
  <ds:schemaRefs/>
</ds:datastoreItem>
</file>

<file path=docProps/app.xml><?xml version="1.0" encoding="utf-8"?>
<Properties xmlns="http://schemas.openxmlformats.org/officeDocument/2006/extended-properties" xmlns:vt="http://schemas.openxmlformats.org/officeDocument/2006/docPropsVTypes">
  <Template>Normal</Template>
  <Pages>9</Pages>
  <Words>901</Words>
  <Characters>5136</Characters>
  <Lines>42</Lines>
  <Paragraphs>12</Paragraphs>
  <ScaleCrop>false</ScaleCrop>
  <LinksUpToDate>false</LinksUpToDate>
  <CharactersWithSpaces>6025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2017-11-30T03:14:00Z</dcterms:created>
  <dc:creator>mac</dc:creator>
  <cp:lastModifiedBy>Administrator</cp:lastModifiedBy>
  <dcterms:modified xsi:type="dcterms:W3CDTF">2018-03-09T05:07:22Z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