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distribute"/>
        <w:rPr>
          <w:rFonts w:asciiTheme="majorEastAsia" w:hAnsiTheme="majorEastAsia" w:eastAsiaTheme="majorEastAsia" w:cstheme="majorEastAsia"/>
          <w:b/>
          <w:bCs/>
          <w:color w:val="FF0000"/>
          <w:spacing w:val="-100"/>
          <w:sz w:val="72"/>
          <w:szCs w:val="72"/>
        </w:rPr>
      </w:pPr>
      <w:r>
        <w:rPr>
          <w:rFonts w:hint="eastAsia" w:asciiTheme="majorEastAsia" w:hAnsiTheme="majorEastAsia" w:eastAsiaTheme="majorEastAsia" w:cstheme="majorEastAsia"/>
          <w:b/>
          <w:bCs/>
          <w:color w:val="FF0000"/>
          <w:spacing w:val="-100"/>
          <w:sz w:val="72"/>
          <w:szCs w:val="72"/>
        </w:rPr>
        <w:t>中国人生科学学会</w:t>
      </w:r>
    </w:p>
    <w:p>
      <w:pPr>
        <w:spacing w:line="360" w:lineRule="auto"/>
        <w:jc w:val="distribute"/>
        <w:rPr>
          <w:rFonts w:asciiTheme="majorEastAsia" w:hAnsiTheme="majorEastAsia" w:eastAsiaTheme="majorEastAsia" w:cstheme="majorEastAsia"/>
          <w:b/>
          <w:bCs/>
          <w:color w:val="FF0000"/>
          <w:spacing w:val="-100"/>
          <w:sz w:val="24"/>
        </w:rPr>
      </w:pPr>
      <w:r>
        <w:rPr>
          <w:rFonts w:hint="eastAsia" w:asciiTheme="majorEastAsia" w:hAnsiTheme="majorEastAsia" w:eastAsiaTheme="majorEastAsia" w:cstheme="majorEastAsia"/>
          <w:b/>
          <w:bCs/>
          <w:color w:val="FF0000"/>
          <w:spacing w:val="-100"/>
          <w:sz w:val="72"/>
          <w:szCs w:val="72"/>
        </w:rPr>
        <w:t>学生发展指导专业委员会</w:t>
      </w:r>
      <w:r>
        <w:rPr>
          <w:rFonts w:asciiTheme="majorEastAsia" w:hAnsiTheme="majorEastAsia" w:eastAsiaTheme="majorEastAsia" w:cstheme="majorEastAsia"/>
          <w:b/>
          <w:bCs/>
          <w:sz w:val="24"/>
          <w:lang w:val="zh-CN"/>
        </w:rPr>
        <mc:AlternateContent>
          <mc:Choice Requires="wps">
            <w:drawing>
              <wp:anchor distT="0" distB="0" distL="114300" distR="114300" simplePos="0" relativeHeight="251660288" behindDoc="0" locked="0" layoutInCell="1" allowOverlap="1">
                <wp:simplePos x="0" y="0"/>
                <wp:positionH relativeFrom="column">
                  <wp:posOffset>-97790</wp:posOffset>
                </wp:positionH>
                <wp:positionV relativeFrom="paragraph">
                  <wp:posOffset>559435</wp:posOffset>
                </wp:positionV>
                <wp:extent cx="5649595" cy="5715"/>
                <wp:effectExtent l="0" t="0" r="0" b="0"/>
                <wp:wrapNone/>
                <wp:docPr id="2" name="Line 2"/>
                <wp:cNvGraphicFramePr/>
                <a:graphic xmlns:a="http://schemas.openxmlformats.org/drawingml/2006/main">
                  <a:graphicData uri="http://schemas.microsoft.com/office/word/2010/wordprocessingShape">
                    <wps:wsp>
                      <wps:cNvCnPr/>
                      <wps:spPr>
                        <a:xfrm flipV="1">
                          <a:off x="0" y="0"/>
                          <a:ext cx="5649595" cy="5715"/>
                        </a:xfrm>
                        <a:prstGeom prst="line">
                          <a:avLst/>
                        </a:prstGeom>
                        <a:ln w="28575" cap="flat" cmpd="sng">
                          <a:solidFill>
                            <a:srgbClr val="FF0000"/>
                          </a:solidFill>
                          <a:prstDash val="solid"/>
                          <a:headEnd type="none" w="med" len="med"/>
                          <a:tailEnd type="none" w="med" len="med"/>
                        </a:ln>
                        <a:effectLst/>
                      </wps:spPr>
                      <wps:bodyPr upright="1"/>
                    </wps:wsp>
                  </a:graphicData>
                </a:graphic>
              </wp:anchor>
            </w:drawing>
          </mc:Choice>
          <mc:Fallback>
            <w:pict>
              <v:line id="Line 2" o:spid="_x0000_s1026" o:spt="20" style="position:absolute;left:0pt;flip:y;margin-left:-7.7pt;margin-top:44.05pt;height:0.45pt;width:444.85pt;z-index:251660288;mso-width-relative:page;mso-height-relative:page;" filled="f" stroked="t" coordsize="21600,21600" o:gfxdata="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XWcd+2wAAAAkBAAAPAAAAAAAAAAEAIAAA&#10;ACIAAABkcnMvZG93bnJldi54bWxQSwECFAAUAAAACACHTuJAFtlCSdABAACnAwAADgAAAAAAAAAB&#10;ACAAAAAqAQAAZHJzL2Uyb0RvYy54bWxQSwUGAAAAAAYABgBZAQAAbAUAAAAA&#10;">
                <v:fill on="f" focussize="0,0"/>
                <v:stroke weight="2.25pt" color="#FF0000" joinstyle="round"/>
                <v:imagedata o:title=""/>
                <o:lock v:ext="edit" aspectratio="f"/>
              </v:line>
            </w:pict>
          </mc:Fallback>
        </mc:AlternateContent>
      </w:r>
    </w:p>
    <w:p>
      <w:pPr>
        <w:spacing w:beforeLines="100" w:afterLines="50" w:line="360" w:lineRule="auto"/>
        <w:ind w:firstLine="82" w:firstLineChars="200"/>
        <w:jc w:val="right"/>
        <w:rPr>
          <w:rFonts w:asciiTheme="majorEastAsia" w:hAnsiTheme="majorEastAsia" w:eastAsiaTheme="majorEastAsia" w:cstheme="majorEastAsia"/>
          <w:sz w:val="24"/>
        </w:rPr>
      </w:pPr>
      <w:r>
        <w:rPr>
          <w:rFonts w:hint="eastAsia" w:asciiTheme="majorEastAsia" w:hAnsiTheme="majorEastAsia" w:eastAsiaTheme="majorEastAsia" w:cstheme="majorEastAsia"/>
          <w:b/>
          <w:bCs/>
          <w:color w:val="FF0000"/>
          <w:spacing w:val="-100"/>
          <w:sz w:val="24"/>
        </w:rPr>
        <w:t xml:space="preserve">    </w:t>
      </w:r>
      <w:r>
        <w:rPr>
          <w:rFonts w:hint="eastAsia" w:asciiTheme="majorEastAsia" w:hAnsiTheme="majorEastAsia" w:eastAsiaTheme="majorEastAsia" w:cstheme="majorEastAsia"/>
          <w:sz w:val="24"/>
        </w:rPr>
        <w:t>学专委201816号文件</w:t>
      </w:r>
    </w:p>
    <w:p>
      <w:pPr>
        <w:spacing w:line="360" w:lineRule="auto"/>
        <w:jc w:val="cente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关于开展“2018</w:t>
      </w:r>
      <w:r>
        <w:rPr>
          <w:rFonts w:hint="eastAsia" w:asciiTheme="majorEastAsia" w:hAnsiTheme="majorEastAsia" w:eastAsiaTheme="majorEastAsia" w:cstheme="majorEastAsia"/>
          <w:b/>
          <w:bCs/>
          <w:sz w:val="28"/>
          <w:szCs w:val="28"/>
          <w:lang w:eastAsia="zh-CN"/>
        </w:rPr>
        <w:t>首届</w:t>
      </w:r>
      <w:r>
        <w:rPr>
          <w:rFonts w:hint="eastAsia" w:asciiTheme="majorEastAsia" w:hAnsiTheme="majorEastAsia" w:eastAsiaTheme="majorEastAsia" w:cstheme="majorEastAsia"/>
          <w:b/>
          <w:bCs/>
          <w:sz w:val="28"/>
          <w:szCs w:val="28"/>
        </w:rPr>
        <w:t>全国中学生生涯规划</w:t>
      </w:r>
      <w:r>
        <w:rPr>
          <w:rFonts w:hint="eastAsia" w:asciiTheme="majorEastAsia" w:hAnsiTheme="majorEastAsia" w:eastAsiaTheme="majorEastAsia" w:cstheme="majorEastAsia"/>
          <w:b/>
          <w:bCs/>
          <w:sz w:val="28"/>
          <w:szCs w:val="28"/>
          <w:lang w:eastAsia="zh-CN"/>
        </w:rPr>
        <w:t>教育研学营</w:t>
      </w:r>
      <w:r>
        <w:rPr>
          <w:rFonts w:hint="eastAsia" w:asciiTheme="majorEastAsia" w:hAnsiTheme="majorEastAsia" w:eastAsiaTheme="majorEastAsia" w:cstheme="majorEastAsia"/>
          <w:b/>
          <w:bCs/>
          <w:sz w:val="28"/>
          <w:szCs w:val="28"/>
        </w:rPr>
        <w:t>”</w:t>
      </w:r>
      <w:r>
        <w:rPr>
          <w:rFonts w:hint="eastAsia" w:asciiTheme="majorEastAsia" w:hAnsiTheme="majorEastAsia" w:eastAsiaTheme="majorEastAsia" w:cstheme="majorEastAsia"/>
          <w:b/>
          <w:bCs/>
          <w:sz w:val="28"/>
          <w:szCs w:val="28"/>
          <w:lang w:eastAsia="zh-CN"/>
        </w:rPr>
        <w:t>中国青岛</w:t>
      </w:r>
    </w:p>
    <w:p>
      <w:pPr>
        <w:spacing w:line="360" w:lineRule="auto"/>
        <w:jc w:val="center"/>
        <w:rPr>
          <w:rFonts w:asciiTheme="majorEastAsia" w:hAnsiTheme="majorEastAsia" w:eastAsiaTheme="majorEastAsia" w:cstheme="majorEastAsia"/>
          <w:strike/>
          <w:sz w:val="32"/>
          <w:szCs w:val="32"/>
        </w:rPr>
      </w:pPr>
      <w:r>
        <w:rPr>
          <w:rFonts w:hint="eastAsia" w:asciiTheme="majorEastAsia" w:hAnsiTheme="majorEastAsia" w:eastAsiaTheme="majorEastAsia" w:cstheme="majorEastAsia"/>
          <w:b/>
          <w:bCs/>
          <w:sz w:val="32"/>
          <w:szCs w:val="32"/>
        </w:rPr>
        <w:t>邀 请 函</w:t>
      </w:r>
    </w:p>
    <w:p>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全国各中学、中学生家长：</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生涯</w:t>
      </w:r>
      <w:r>
        <w:rPr>
          <w:rFonts w:hint="eastAsia" w:asciiTheme="majorEastAsia" w:hAnsiTheme="majorEastAsia" w:eastAsiaTheme="majorEastAsia" w:cstheme="majorEastAsia"/>
          <w:sz w:val="24"/>
          <w:lang w:eastAsia="zh-CN"/>
        </w:rPr>
        <w:t>规划</w:t>
      </w:r>
      <w:r>
        <w:rPr>
          <w:rFonts w:hint="eastAsia" w:asciiTheme="majorEastAsia" w:hAnsiTheme="majorEastAsia" w:eastAsiaTheme="majorEastAsia" w:cstheme="majorEastAsia"/>
          <w:sz w:val="24"/>
        </w:rPr>
        <w:t>教育是以学生发展为本，既着眼于学生当下生活，又着眼于学生未来发展的教育，是育人的新视角、新途径，是提高教育实效性的突破口，是学生成长的动力引擎。2014年，根据《关于深化考试招生制度改革的实施意见》、《国家中长期教育改革和发展规划纲要》</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rPr>
        <w:t xml:space="preserve"> 上海、浙江启动高考综合改革的试点，国家人才选拔与高考制度发生了重大变化。学生拥有真正意义上自主选择权利，学习内容、学习方式、考试内容、招生方式都将产生重大变化。目前，我国中学生的生涯规划教育都处在启蒙状态，从生涯研究、教师团队、课程体系、实践体验等都成为学校进行生涯教育的困惑所在。</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为适应新高考改革与国家人才战略的发展，解决中学生生涯规划教育实际问题，在新高考背景下，帮助学生树立生涯规划与创新意识，掌握生涯规划的基本方法，引导学生科学合理地规划初高中学习、生活和实践，同时培养学生参与、竞争、实践的意识，提高学生观察能力、思考能力、动手操作能力、发明创造能力。为此，</w:t>
      </w:r>
      <w:r>
        <w:rPr>
          <w:rFonts w:hint="eastAsia" w:asciiTheme="majorEastAsia" w:hAnsiTheme="majorEastAsia" w:eastAsiaTheme="majorEastAsia" w:cstheme="majorEastAsia"/>
          <w:b w:val="0"/>
          <w:bCs w:val="0"/>
          <w:sz w:val="24"/>
        </w:rPr>
        <w:t>中国人生科学学会学生发展指导专业委员会</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eastAsia="zh-CN"/>
        </w:rPr>
        <w:t>北京成长智慧科技有限公司、</w:t>
      </w:r>
      <w:r>
        <w:rPr>
          <w:rFonts w:hint="eastAsia" w:asciiTheme="majorEastAsia" w:hAnsiTheme="majorEastAsia" w:eastAsiaTheme="majorEastAsia" w:cstheme="majorEastAsia"/>
          <w:sz w:val="24"/>
        </w:rPr>
        <w:t>青岛市卓越生涯科技有限公司联合举办“2018全国中学生生涯规划</w:t>
      </w:r>
      <w:r>
        <w:rPr>
          <w:rFonts w:hint="eastAsia" w:asciiTheme="majorEastAsia" w:hAnsiTheme="majorEastAsia" w:eastAsiaTheme="majorEastAsia" w:cstheme="majorEastAsia"/>
          <w:sz w:val="24"/>
          <w:lang w:eastAsia="zh-CN"/>
        </w:rPr>
        <w:t>研学营</w:t>
      </w:r>
      <w:r>
        <w:rPr>
          <w:rFonts w:hint="eastAsia" w:asciiTheme="majorEastAsia" w:hAnsiTheme="majorEastAsia" w:eastAsiaTheme="majorEastAsia" w:cstheme="majorEastAsia"/>
          <w:sz w:val="24"/>
        </w:rPr>
        <w:t>”，在研学活动中通过探访</w:t>
      </w:r>
      <w:r>
        <w:rPr>
          <w:rFonts w:hint="eastAsia" w:asciiTheme="majorEastAsia" w:hAnsiTheme="majorEastAsia" w:eastAsiaTheme="majorEastAsia" w:cstheme="majorEastAsia"/>
          <w:sz w:val="24"/>
          <w:lang w:eastAsia="zh-CN"/>
        </w:rPr>
        <w:t>中国</w:t>
      </w:r>
      <w:r>
        <w:rPr>
          <w:rFonts w:hint="eastAsia" w:asciiTheme="majorEastAsia" w:hAnsiTheme="majorEastAsia" w:eastAsiaTheme="majorEastAsia" w:cstheme="majorEastAsia"/>
          <w:sz w:val="24"/>
        </w:rPr>
        <w:t>著名企业、名师生涯课程指导、学生发展指导测评、学生创新能力训练的形式与“你的未来对话”、“与你的未来互动”。</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lang w:eastAsia="zh-CN"/>
        </w:rPr>
        <w:t>研学营</w:t>
      </w:r>
      <w:r>
        <w:rPr>
          <w:rFonts w:hint="eastAsia" w:asciiTheme="majorEastAsia" w:hAnsiTheme="majorEastAsia" w:eastAsiaTheme="majorEastAsia" w:cstheme="majorEastAsia"/>
          <w:sz w:val="24"/>
        </w:rPr>
        <w:t>将于2018年7月22日启动，并将携手全国权威生涯教育专家、学生创新教育专家、升学规划专家，为广大中学生提供感知未来、展现自我的机会，培养创新能力，锻炼实践能力，提高危机意识，重视生涯发展，尽早为梦想做好准备。</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现将有关通知如下：</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研学口号：我在未来等你</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主办单位：中国人生科学学会学生发展指导专业委员会</w:t>
      </w:r>
    </w:p>
    <w:p>
      <w:pPr>
        <w:spacing w:line="360" w:lineRule="auto"/>
        <w:ind w:firstLine="482" w:firstLineChars="200"/>
        <w:rPr>
          <w:rFonts w:hint="eastAsia"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b/>
          <w:bCs/>
          <w:sz w:val="24"/>
        </w:rPr>
        <w:t>承办单位：</w:t>
      </w:r>
      <w:r>
        <w:rPr>
          <w:rFonts w:hint="eastAsia" w:asciiTheme="majorEastAsia" w:hAnsiTheme="majorEastAsia" w:eastAsiaTheme="majorEastAsia" w:cstheme="majorEastAsia"/>
          <w:b/>
          <w:bCs/>
          <w:sz w:val="24"/>
          <w:lang w:eastAsia="zh-CN"/>
        </w:rPr>
        <w:t>北京成长智慧教育科技有限公司</w:t>
      </w:r>
    </w:p>
    <w:p>
      <w:pPr>
        <w:spacing w:line="360" w:lineRule="auto"/>
        <w:ind w:firstLine="1687" w:firstLineChars="7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青岛市卓越生涯教育科技有限公司</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学术支持：国家课题《生涯规划教育与学生未来发展研究》总课题组</w:t>
      </w:r>
    </w:p>
    <w:p>
      <w:pPr>
        <w:spacing w:line="360" w:lineRule="auto"/>
        <w:ind w:firstLine="482" w:firstLineChars="20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中国学校生涯规划教育网  中国石油大学</w:t>
      </w:r>
    </w:p>
    <w:p>
      <w:pPr>
        <w:spacing w:line="360" w:lineRule="auto"/>
        <w:ind w:firstLine="1687" w:firstLineChars="7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山东大学创新创业训练营</w:t>
      </w:r>
    </w:p>
    <w:p>
      <w:pPr>
        <w:pStyle w:val="12"/>
        <w:widowControl/>
        <w:shd w:val="clear" w:color="auto" w:fill="FFFFFF"/>
        <w:spacing w:line="360" w:lineRule="auto"/>
        <w:ind w:firstLine="480"/>
        <w:jc w:val="left"/>
        <w:textAlignment w:val="baseline"/>
        <w:rPr>
          <w:rFonts w:asciiTheme="majorEastAsia" w:hAnsiTheme="majorEastAsia" w:eastAsiaTheme="majorEastAsia" w:cstheme="majorEastAsia"/>
          <w:sz w:val="24"/>
        </w:rPr>
      </w:pPr>
    </w:p>
    <w:p>
      <w:pPr>
        <w:pStyle w:val="12"/>
        <w:widowControl/>
        <w:shd w:val="clear" w:color="auto" w:fill="FFFFFF"/>
        <w:spacing w:line="360" w:lineRule="auto"/>
        <w:ind w:firstLine="482"/>
        <w:jc w:val="left"/>
        <w:textAlignment w:val="baseline"/>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一、行程特色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ascii="Helvetica Neue" w:hAnsi="Helvetica Neue" w:eastAsia="Helvetica Neue" w:cs="Helvetica Neue"/>
          <w:i w:val="0"/>
          <w:caps w:val="0"/>
          <w:color w:val="3E3E3E"/>
          <w:spacing w:val="0"/>
          <w:sz w:val="24"/>
          <w:szCs w:val="24"/>
        </w:rPr>
      </w:pPr>
      <w:r>
        <w:rPr>
          <w:rFonts w:ascii="华文细黑" w:hAnsi="华文细黑" w:eastAsia="华文细黑" w:cs="华文细黑"/>
          <w:b/>
          <w:i w:val="0"/>
          <w:caps w:val="0"/>
          <w:color w:val="333333"/>
          <w:spacing w:val="0"/>
          <w:sz w:val="22"/>
          <w:szCs w:val="22"/>
          <w:shd w:val="clear" w:fill="FFFFFF"/>
        </w:rPr>
        <w:t>（一）</w:t>
      </w:r>
      <w:r>
        <w:rPr>
          <w:rStyle w:val="8"/>
          <w:rFonts w:hint="eastAsia" w:ascii="华文细黑" w:hAnsi="华文细黑" w:eastAsia="华文细黑" w:cs="华文细黑"/>
          <w:i w:val="0"/>
          <w:caps w:val="0"/>
          <w:color w:val="333333"/>
          <w:spacing w:val="0"/>
          <w:sz w:val="22"/>
          <w:szCs w:val="22"/>
          <w:shd w:val="clear" w:fill="FFFFFF"/>
        </w:rPr>
        <w:t>名校深度体验，明确高考目标！</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深度参观体验</w:t>
      </w:r>
      <w:r>
        <w:rPr>
          <w:rFonts w:hint="eastAsia" w:ascii="华文细黑" w:hAnsi="华文细黑" w:eastAsia="华文细黑" w:cs="华文细黑"/>
          <w:i w:val="0"/>
          <w:caps w:val="0"/>
          <w:color w:val="333333"/>
          <w:spacing w:val="0"/>
          <w:sz w:val="22"/>
          <w:szCs w:val="22"/>
          <w:shd w:val="clear" w:fill="FFFFFF"/>
          <w:lang w:eastAsia="zh-CN"/>
        </w:rPr>
        <w:t>中国石油</w:t>
      </w:r>
      <w:r>
        <w:rPr>
          <w:rFonts w:hint="eastAsia" w:ascii="华文细黑" w:hAnsi="华文细黑" w:eastAsia="华文细黑" w:cs="华文细黑"/>
          <w:i w:val="0"/>
          <w:caps w:val="0"/>
          <w:color w:val="333333"/>
          <w:spacing w:val="0"/>
          <w:sz w:val="22"/>
          <w:szCs w:val="22"/>
          <w:shd w:val="clear" w:fill="FFFFFF"/>
        </w:rPr>
        <w:t>大学，感受百年山大精神和校园文化，并深度体验大学生活，体验名校专业面试过</w:t>
      </w:r>
      <w:r>
        <w:rPr>
          <w:rFonts w:hint="eastAsia" w:ascii="华文细黑" w:hAnsi="华文细黑" w:eastAsia="华文细黑" w:cs="华文细黑"/>
          <w:i w:val="0"/>
          <w:caps w:val="0"/>
          <w:color w:val="333333"/>
          <w:spacing w:val="0"/>
          <w:sz w:val="22"/>
          <w:szCs w:val="22"/>
          <w:shd w:val="clear" w:fill="FFFFFF"/>
        </w:rPr>
        <w:t>程。启迪孩子名校梦想，明确高考目标，激发学习动力！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b/>
          <w:i w:val="0"/>
          <w:caps w:val="0"/>
          <w:color w:val="333333"/>
          <w:spacing w:val="0"/>
          <w:sz w:val="22"/>
          <w:szCs w:val="22"/>
          <w:shd w:val="clear" w:fill="FFFFFF"/>
        </w:rPr>
        <w:t>（二）</w:t>
      </w:r>
      <w:r>
        <w:rPr>
          <w:rStyle w:val="8"/>
          <w:rFonts w:hint="eastAsia" w:ascii="华文细黑" w:hAnsi="华文细黑" w:eastAsia="华文细黑" w:cs="华文细黑"/>
          <w:i w:val="0"/>
          <w:caps w:val="0"/>
          <w:color w:val="333333"/>
          <w:spacing w:val="0"/>
          <w:sz w:val="22"/>
          <w:szCs w:val="22"/>
          <w:shd w:val="clear" w:fill="FFFFFF"/>
        </w:rPr>
        <w:t>大学专业</w:t>
      </w:r>
      <w:r>
        <w:rPr>
          <w:rStyle w:val="8"/>
          <w:rFonts w:hint="eastAsia" w:ascii="华文细黑" w:hAnsi="华文细黑" w:eastAsia="华文细黑" w:cs="华文细黑"/>
          <w:i w:val="0"/>
          <w:caps w:val="0"/>
          <w:color w:val="333333"/>
          <w:spacing w:val="0"/>
          <w:sz w:val="22"/>
          <w:szCs w:val="22"/>
          <w:shd w:val="clear" w:fill="FFFFFF"/>
        </w:rPr>
        <w:t>深度</w:t>
      </w:r>
      <w:r>
        <w:rPr>
          <w:rStyle w:val="8"/>
          <w:rFonts w:hint="eastAsia" w:ascii="华文细黑" w:hAnsi="华文细黑" w:eastAsia="华文细黑" w:cs="华文细黑"/>
          <w:i w:val="0"/>
          <w:caps w:val="0"/>
          <w:color w:val="333333"/>
          <w:spacing w:val="0"/>
          <w:sz w:val="22"/>
          <w:szCs w:val="22"/>
          <w:shd w:val="clear" w:fill="FFFFFF"/>
        </w:rPr>
        <w:t>体验，明确专业方向！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资深高考专家深度</w:t>
      </w:r>
      <w:r>
        <w:rPr>
          <w:rFonts w:hint="eastAsia" w:ascii="华文细黑" w:hAnsi="华文细黑" w:eastAsia="华文细黑" w:cs="华文细黑"/>
          <w:i w:val="0"/>
          <w:caps w:val="0"/>
          <w:color w:val="333333"/>
          <w:spacing w:val="0"/>
          <w:sz w:val="22"/>
          <w:szCs w:val="22"/>
          <w:shd w:val="clear" w:fill="FFFFFF"/>
        </w:rPr>
        <w:t>讲解大学专业构成，给孩子展示不一样的大学专业内涵！为孩子提供最权威的大学专业方向解读，帮助孩子找对自己的大学专业方向！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b/>
          <w:i w:val="0"/>
          <w:caps w:val="0"/>
          <w:color w:val="333333"/>
          <w:spacing w:val="0"/>
          <w:sz w:val="22"/>
          <w:szCs w:val="22"/>
          <w:shd w:val="clear" w:fill="FFFFFF"/>
        </w:rPr>
        <w:t>（三）</w:t>
      </w:r>
      <w:r>
        <w:rPr>
          <w:rStyle w:val="8"/>
          <w:rFonts w:hint="eastAsia" w:ascii="华文细黑" w:hAnsi="华文细黑" w:eastAsia="华文细黑" w:cs="华文细黑"/>
          <w:i w:val="0"/>
          <w:caps w:val="0"/>
          <w:color w:val="333333"/>
          <w:spacing w:val="0"/>
          <w:sz w:val="22"/>
          <w:szCs w:val="22"/>
          <w:shd w:val="clear" w:fill="FFFFFF"/>
        </w:rPr>
        <w:t>深度学科体验，明确</w:t>
      </w:r>
      <w:r>
        <w:rPr>
          <w:rStyle w:val="8"/>
          <w:rFonts w:hint="eastAsia" w:ascii="华文细黑" w:hAnsi="华文细黑" w:eastAsia="华文细黑" w:cs="华文细黑"/>
          <w:i w:val="0"/>
          <w:caps w:val="0"/>
          <w:color w:val="333333"/>
          <w:spacing w:val="0"/>
          <w:sz w:val="22"/>
          <w:szCs w:val="22"/>
          <w:shd w:val="clear" w:fill="FFFFFF"/>
          <w:lang w:eastAsia="zh-CN"/>
        </w:rPr>
        <w:t>升学路径</w:t>
      </w:r>
      <w:r>
        <w:rPr>
          <w:rStyle w:val="8"/>
          <w:rFonts w:hint="eastAsia" w:ascii="华文细黑" w:hAnsi="华文细黑" w:eastAsia="华文细黑" w:cs="华文细黑"/>
          <w:i w:val="0"/>
          <w:caps w:val="0"/>
          <w:color w:val="333333"/>
          <w:spacing w:val="0"/>
          <w:sz w:val="22"/>
          <w:szCs w:val="22"/>
          <w:shd w:val="clear" w:fill="FFFFFF"/>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eastAsia" w:ascii="华文细黑" w:hAnsi="华文细黑" w:eastAsia="华文细黑" w:cs="华文细黑"/>
          <w:i w:val="0"/>
          <w:caps w:val="0"/>
          <w:color w:val="333333"/>
          <w:spacing w:val="0"/>
          <w:sz w:val="22"/>
          <w:szCs w:val="22"/>
          <w:shd w:val="clear" w:fill="FFFFFF"/>
        </w:rPr>
      </w:pPr>
      <w:r>
        <w:rPr>
          <w:rFonts w:hint="eastAsia" w:ascii="华文细黑" w:hAnsi="华文细黑" w:eastAsia="华文细黑" w:cs="华文细黑"/>
          <w:i w:val="0"/>
          <w:caps w:val="0"/>
          <w:color w:val="333333"/>
          <w:spacing w:val="0"/>
          <w:sz w:val="22"/>
          <w:szCs w:val="22"/>
          <w:shd w:val="clear" w:fill="FFFFFF"/>
        </w:rPr>
        <w:t>在测评专家指导下，通过CSCD学生发展指导测评工具，深度探索自己的学习能力及创新潜力、学科兴趣与特长、学习风格，专业规划！为孩子打造最佳升学路径！</w:t>
      </w:r>
    </w:p>
    <w:p>
      <w:pPr>
        <w:pStyle w:val="12"/>
        <w:widowControl/>
        <w:shd w:val="clear" w:color="auto" w:fill="FFFFFF"/>
        <w:spacing w:line="360" w:lineRule="auto"/>
        <w:ind w:firstLine="482"/>
        <w:jc w:val="left"/>
        <w:textAlignment w:val="baseline"/>
        <w:rPr>
          <w:rFonts w:hint="default" w:ascii="Helvetica Neue" w:hAnsi="Helvetica Neue" w:eastAsia="Helvetica Neue" w:cs="Helvetica Neue"/>
          <w:i w:val="0"/>
          <w:caps w:val="0"/>
          <w:color w:val="3E3E3E"/>
          <w:spacing w:val="0"/>
          <w:sz w:val="24"/>
          <w:szCs w:val="24"/>
        </w:rPr>
      </w:pPr>
      <w:r>
        <w:rPr>
          <w:rFonts w:hint="eastAsia" w:asciiTheme="majorEastAsia" w:hAnsiTheme="majorEastAsia" w:eastAsiaTheme="majorEastAsia" w:cstheme="majorEastAsia"/>
          <w:b/>
          <w:bCs/>
          <w:sz w:val="24"/>
          <w:szCs w:val="22"/>
          <w:lang w:eastAsia="zh-CN"/>
        </w:rPr>
        <w:t>二、超值收获</w:t>
      </w:r>
      <w:r>
        <w:rPr>
          <w:rFonts w:hint="eastAsia" w:asciiTheme="majorEastAsia" w:hAnsiTheme="majorEastAsia" w:eastAsiaTheme="majorEastAsia" w:cstheme="majorEastAsia"/>
          <w:b/>
          <w:bCs/>
          <w:sz w:val="24"/>
          <w:szCs w:val="22"/>
        </w:rPr>
        <w:t> </w:t>
      </w:r>
      <w:r>
        <w:rPr>
          <w:rFonts w:hint="eastAsia" w:ascii="华文细黑" w:hAnsi="华文细黑" w:eastAsia="华文细黑" w:cs="华文细黑"/>
          <w:i w:val="0"/>
          <w:caps w:val="0"/>
          <w:color w:val="333333"/>
          <w:spacing w:val="0"/>
          <w:sz w:val="22"/>
          <w:szCs w:val="22"/>
          <w:shd w:val="clear" w:fill="FFFFFF"/>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Style w:val="8"/>
          <w:rFonts w:hint="eastAsia" w:ascii="华文细黑" w:hAnsi="华文细黑" w:eastAsia="华文细黑" w:cs="华文细黑"/>
          <w:i w:val="0"/>
          <w:caps w:val="0"/>
          <w:color w:val="333333"/>
          <w:spacing w:val="0"/>
          <w:sz w:val="22"/>
          <w:szCs w:val="22"/>
          <w:shd w:val="clear" w:fill="FFFFFF"/>
        </w:rPr>
        <w:t>（一）你的专属《名校升学方案》：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eastAsia" w:ascii="华文细黑" w:hAnsi="华文细黑" w:eastAsia="华文细黑" w:cs="华文细黑"/>
          <w:i w:val="0"/>
          <w:caps w:val="0"/>
          <w:color w:val="333333"/>
          <w:spacing w:val="0"/>
          <w:sz w:val="22"/>
          <w:szCs w:val="22"/>
          <w:shd w:val="clear" w:fill="FFFFFF"/>
        </w:rPr>
      </w:pPr>
      <w:r>
        <w:rPr>
          <w:rFonts w:hint="eastAsia" w:ascii="华文细黑" w:hAnsi="华文细黑" w:eastAsia="华文细黑" w:cs="华文细黑"/>
          <w:i w:val="0"/>
          <w:caps w:val="0"/>
          <w:color w:val="333333"/>
          <w:spacing w:val="0"/>
          <w:sz w:val="22"/>
          <w:szCs w:val="22"/>
          <w:shd w:val="clear" w:fill="FFFFFF"/>
        </w:rPr>
        <w:t>每位营员都将获得一份</w:t>
      </w:r>
      <w:r>
        <w:rPr>
          <w:rFonts w:hint="eastAsia" w:ascii="华文细黑" w:hAnsi="华文细黑" w:eastAsia="华文细黑" w:cs="华文细黑"/>
          <w:i w:val="0"/>
          <w:caps w:val="0"/>
          <w:color w:val="333333"/>
          <w:spacing w:val="0"/>
          <w:sz w:val="22"/>
          <w:szCs w:val="22"/>
          <w:shd w:val="clear" w:fill="FFFFFF"/>
        </w:rPr>
        <w:t>自己的专属「名校升学方案」；学生将通过专业测评工具进行测评，并由测评专家进行一对一的「名校升学方案」设计，升学规划专家将根据学生的性格与兴趣特点为、学科发展潜能、学科兴趣与能力等专业测评指标，发掘孩子的学科特长及天赋优势，合理规划各类学科竞赛、专利论文发表、以及各类社会实践，为实现教育目标进行专业的规划设计！为每个学</w:t>
      </w:r>
      <w:r>
        <w:rPr>
          <w:rFonts w:hint="eastAsia" w:ascii="华文细黑" w:hAnsi="华文细黑" w:eastAsia="华文细黑" w:cs="华文细黑"/>
          <w:i w:val="0"/>
          <w:caps w:val="0"/>
          <w:color w:val="333333"/>
          <w:spacing w:val="0"/>
          <w:sz w:val="22"/>
          <w:szCs w:val="22"/>
          <w:shd w:val="clear" w:fill="FFFFFF"/>
        </w:rPr>
        <w:t>生制订科学和发展潜力的升学目标和路径！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包括：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1、大学专业选择建议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2、高中学科综合评估（学科潜能 、学科能力、学科兴趣、学科观念、学科基础、学科知识、优劣势学科分析）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3、学习方式特点分析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4、性格分析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5、未来职业建议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6、高考升学规划（高考前景展望、目标大学与专业建议、高中选科建议、考试路径分析与建议）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Style w:val="8"/>
          <w:rFonts w:hint="eastAsia" w:ascii="华文细黑" w:hAnsi="华文细黑" w:eastAsia="华文细黑" w:cs="华文细黑"/>
          <w:i w:val="0"/>
          <w:caps w:val="0"/>
          <w:color w:val="333333"/>
          <w:spacing w:val="0"/>
          <w:sz w:val="22"/>
          <w:szCs w:val="22"/>
          <w:shd w:val="clear" w:fill="FFFFFF"/>
        </w:rPr>
        <w:t>（二）证书：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0" w:firstLineChars="200"/>
        <w:jc w:val="both"/>
        <w:textAlignment w:val="auto"/>
        <w:outlineLvl w:val="9"/>
        <w:rPr>
          <w:rFonts w:hint="default" w:ascii="Helvetica Neue" w:hAnsi="Helvetica Neue" w:eastAsia="Helvetica Neue" w:cs="Helvetica Neue"/>
          <w:i w:val="0"/>
          <w:caps w:val="0"/>
          <w:color w:val="3E3E3E"/>
          <w:spacing w:val="0"/>
          <w:sz w:val="24"/>
          <w:szCs w:val="24"/>
        </w:rPr>
      </w:pPr>
      <w:r>
        <w:rPr>
          <w:rFonts w:hint="eastAsia" w:ascii="华文细黑" w:hAnsi="华文细黑" w:eastAsia="华文细黑" w:cs="华文细黑"/>
          <w:i w:val="0"/>
          <w:caps w:val="0"/>
          <w:color w:val="333333"/>
          <w:spacing w:val="0"/>
          <w:kern w:val="0"/>
          <w:sz w:val="22"/>
          <w:szCs w:val="22"/>
          <w:shd w:val="clear" w:fill="FFFFFF"/>
          <w:lang w:val="en-US" w:eastAsia="zh-CN" w:bidi="ar-SA"/>
        </w:rPr>
        <w:t>每位营员都将获得由主办单位（中国人生科学学会学生发展指导专委会）颁发参营证书。可作为学校综合素质评价内容参评。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i w:val="0"/>
          <w:caps w:val="0"/>
          <w:color w:val="3E3E3E"/>
          <w:spacing w:val="0"/>
          <w:sz w:val="24"/>
          <w:szCs w:val="24"/>
        </w:rPr>
      </w:pPr>
      <w:r>
        <w:rPr>
          <w:rStyle w:val="8"/>
          <w:rFonts w:hint="eastAsia" w:ascii="华文细黑" w:hAnsi="华文细黑" w:eastAsia="华文细黑" w:cs="华文细黑"/>
          <w:i w:val="0"/>
          <w:caps w:val="0"/>
          <w:color w:val="333333"/>
          <w:spacing w:val="0"/>
          <w:sz w:val="22"/>
          <w:szCs w:val="22"/>
          <w:shd w:val="clear" w:fill="FFFFFF"/>
        </w:rPr>
        <w:t>（三）升学规划的深度服务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华文细黑" w:hAnsi="华文细黑" w:eastAsia="华文细黑" w:cs="华文细黑"/>
          <w:i w:val="0"/>
          <w:caps w:val="0"/>
          <w:color w:val="333333"/>
          <w:spacing w:val="0"/>
          <w:sz w:val="22"/>
          <w:szCs w:val="22"/>
          <w:shd w:val="clear" w:fill="FFFFFF"/>
        </w:rPr>
      </w:pPr>
      <w:r>
        <w:rPr>
          <w:rFonts w:hint="eastAsia" w:ascii="华文细黑" w:hAnsi="华文细黑" w:eastAsia="华文细黑" w:cs="华文细黑"/>
          <w:i w:val="0"/>
          <w:caps w:val="0"/>
          <w:color w:val="333333"/>
          <w:spacing w:val="0"/>
          <w:sz w:val="22"/>
          <w:szCs w:val="22"/>
          <w:shd w:val="clear" w:fill="FFFFFF"/>
        </w:rPr>
        <w:t>青岛学生发展指导中心是专业的学生发展指导机构，是全国高考志愿填报与学生未来发展研究示范基地。中心拥有专业的升学规划服务能力和专业的学生测评工具以及专业高考咨询专家，能为学生升学全过程服务！多年来一直致力于优秀学生的培养</w:t>
      </w:r>
      <w:r>
        <w:rPr>
          <w:rFonts w:hint="eastAsia" w:ascii="华文细黑" w:hAnsi="华文细黑" w:eastAsia="华文细黑" w:cs="华文细黑"/>
          <w:i w:val="0"/>
          <w:caps w:val="0"/>
          <w:color w:val="333333"/>
          <w:spacing w:val="0"/>
          <w:sz w:val="22"/>
          <w:szCs w:val="22"/>
          <w:shd w:val="clear" w:fill="FFFFFF"/>
        </w:rPr>
        <w:t>工作，指导学生通过学科竞赛、发明创造、论文专著发表等方式获得大学自主招生资格进入心仪的知名大学。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240" w:lineRule="auto"/>
        <w:ind w:left="120" w:right="120" w:firstLine="440" w:firstLineChars="200"/>
        <w:jc w:val="left"/>
        <w:textAlignment w:val="auto"/>
        <w:outlineLvl w:val="9"/>
        <w:rPr>
          <w:rFonts w:hint="default" w:ascii="Helvetica Neue" w:hAnsi="Helvetica Neue" w:eastAsia="Helvetica Neue" w:cs="Helvetica Neue"/>
          <w:b w:val="0"/>
          <w:bCs w:val="0"/>
          <w:i w:val="0"/>
          <w:caps w:val="0"/>
          <w:color w:val="3E3E3E"/>
          <w:spacing w:val="0"/>
          <w:sz w:val="24"/>
          <w:szCs w:val="24"/>
        </w:rPr>
      </w:pPr>
      <w:r>
        <w:rPr>
          <w:rFonts w:hint="eastAsia" w:ascii="华文细黑" w:hAnsi="华文细黑" w:eastAsia="华文细黑" w:cs="华文细黑"/>
          <w:i w:val="0"/>
          <w:caps w:val="0"/>
          <w:color w:val="333333"/>
          <w:spacing w:val="0"/>
          <w:sz w:val="22"/>
          <w:szCs w:val="22"/>
          <w:shd w:val="clear" w:fill="FFFFFF"/>
        </w:rPr>
        <w:t>中心拥有全国唯一学生创新</w:t>
      </w:r>
      <w:r>
        <w:rPr>
          <w:rFonts w:hint="eastAsia" w:ascii="华文细黑" w:hAnsi="华文细黑" w:eastAsia="华文细黑" w:cs="华文细黑"/>
          <w:i w:val="0"/>
          <w:caps w:val="0"/>
          <w:color w:val="333333"/>
          <w:spacing w:val="0"/>
          <w:sz w:val="22"/>
          <w:szCs w:val="22"/>
          <w:shd w:val="clear" w:fill="FFFFFF"/>
        </w:rPr>
        <w:t>训练示范基地——青岛（西海岸）学生创新训练示范基地，是国内唯一能够真正、真实为学生提供发明创造的地方！是学生创新创业能力培养示范基地和青岛市科普教育基地。2000平方超大创新空间和创新创业教育实战培训基地，上百台机器人，中国第一台书法机器人、调酒机器人……就在这里“出生”，这里每年产生数千件发明创新专利和知识产权！基地设有高中生学业规划指导中心，为学生进行学科及创新潜力发掘与培养，发现学生创新潜力、为</w:t>
      </w:r>
      <w:r>
        <w:rPr>
          <w:rFonts w:hint="eastAsia" w:ascii="华文细黑" w:hAnsi="华文细黑" w:eastAsia="华文细黑" w:cs="华文细黑"/>
          <w:b w:val="0"/>
          <w:bCs w:val="0"/>
          <w:i w:val="0"/>
          <w:caps w:val="0"/>
          <w:color w:val="333333"/>
          <w:spacing w:val="0"/>
          <w:sz w:val="22"/>
          <w:szCs w:val="22"/>
          <w:shd w:val="clear" w:fill="FFFFFF"/>
        </w:rPr>
        <w:t>无数学子培养创新创业能力以及获取名校自招录取机会创造了先进的条件与培养体系，</w:t>
      </w:r>
      <w:r>
        <w:rPr>
          <w:rStyle w:val="8"/>
          <w:rFonts w:hint="eastAsia" w:ascii="华文细黑" w:hAnsi="华文细黑" w:eastAsia="华文细黑" w:cs="华文细黑"/>
          <w:b w:val="0"/>
          <w:bCs w:val="0"/>
          <w:i w:val="0"/>
          <w:caps w:val="0"/>
          <w:color w:val="333333"/>
          <w:spacing w:val="0"/>
          <w:sz w:val="22"/>
          <w:szCs w:val="22"/>
          <w:shd w:val="clear" w:fill="FFFFFF"/>
        </w:rPr>
        <w:t>为学生提供从创意设想、概念论证、创意设计、产品设计 、产品制造、专著指导、专利申请的全过程服务</w:t>
      </w:r>
      <w:r>
        <w:rPr>
          <w:rFonts w:hint="eastAsia" w:ascii="华文细黑" w:hAnsi="华文细黑" w:eastAsia="华文细黑" w:cs="华文细黑"/>
          <w:b w:val="0"/>
          <w:bCs w:val="0"/>
          <w:i w:val="0"/>
          <w:caps w:val="0"/>
          <w:color w:val="333333"/>
          <w:spacing w:val="0"/>
          <w:sz w:val="22"/>
          <w:szCs w:val="22"/>
          <w:shd w:val="clear" w:fill="FFFFFF"/>
        </w:rPr>
        <w:t>。</w:t>
      </w:r>
    </w:p>
    <w:p>
      <w:pPr>
        <w:pStyle w:val="12"/>
        <w:widowControl/>
        <w:shd w:val="clear" w:color="auto" w:fill="FFFFFF"/>
        <w:spacing w:line="360" w:lineRule="auto"/>
        <w:ind w:firstLine="480"/>
        <w:jc w:val="left"/>
        <w:textAlignment w:val="baseline"/>
        <w:rPr>
          <w:rFonts w:asciiTheme="majorEastAsia" w:hAnsiTheme="majorEastAsia" w:eastAsiaTheme="majorEastAsia" w:cstheme="majorEastAsia"/>
          <w:sz w:val="24"/>
          <w:highlight w:val="yellow"/>
        </w:rPr>
      </w:pPr>
    </w:p>
    <w:p>
      <w:pPr>
        <w:widowControl/>
        <w:numPr>
          <w:ilvl w:val="0"/>
          <w:numId w:val="0"/>
        </w:numPr>
        <w:shd w:val="clear" w:color="auto" w:fill="FFFFFF"/>
        <w:spacing w:line="360" w:lineRule="auto"/>
        <w:jc w:val="left"/>
        <w:textAlignment w:val="baseline"/>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eastAsia="zh-CN"/>
        </w:rPr>
        <w:t>三、</w:t>
      </w:r>
      <w:r>
        <w:rPr>
          <w:rFonts w:hint="eastAsia" w:asciiTheme="majorEastAsia" w:hAnsiTheme="majorEastAsia" w:eastAsiaTheme="majorEastAsia" w:cstheme="majorEastAsia"/>
          <w:b/>
          <w:bCs/>
          <w:sz w:val="24"/>
        </w:rPr>
        <w:t xml:space="preserve"> 生涯研学营行程表</w:t>
      </w:r>
    </w:p>
    <w:tbl>
      <w:tblPr>
        <w:tblStyle w:val="10"/>
        <w:tblW w:w="94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622"/>
        <w:gridCol w:w="1663"/>
        <w:gridCol w:w="1455"/>
        <w:gridCol w:w="1500"/>
        <w:gridCol w:w="157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jc w:val="center"/>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40" w:firstLineChars="200"/>
              <w:jc w:val="center"/>
              <w:textAlignment w:val="auto"/>
              <w:outlineLvl w:val="9"/>
              <w:rPr>
                <w:rFonts w:asciiTheme="majorEastAsia" w:hAnsiTheme="majorEastAsia" w:eastAsiaTheme="majorEastAsia" w:cstheme="majorEastAsia"/>
                <w:sz w:val="22"/>
                <w:szCs w:val="22"/>
              </w:rPr>
            </w:pPr>
          </w:p>
        </w:tc>
        <w:tc>
          <w:tcPr>
            <w:tcW w:w="1622"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D1</w:t>
            </w:r>
          </w:p>
        </w:tc>
        <w:tc>
          <w:tcPr>
            <w:tcW w:w="166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D2</w:t>
            </w:r>
          </w:p>
        </w:tc>
        <w:tc>
          <w:tcPr>
            <w:tcW w:w="1455"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D3</w:t>
            </w:r>
          </w:p>
        </w:tc>
        <w:tc>
          <w:tcPr>
            <w:tcW w:w="150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D4</w:t>
            </w:r>
          </w:p>
        </w:tc>
        <w:tc>
          <w:tcPr>
            <w:tcW w:w="1575"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D5</w:t>
            </w:r>
          </w:p>
        </w:tc>
        <w:tc>
          <w:tcPr>
            <w:tcW w:w="117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D6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上午</w:t>
            </w:r>
          </w:p>
        </w:tc>
        <w:tc>
          <w:tcPr>
            <w:tcW w:w="1622"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报到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入住营地</w:t>
            </w:r>
          </w:p>
        </w:tc>
        <w:tc>
          <w:tcPr>
            <w:tcW w:w="166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参观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学生创新创业训练示范基地</w:t>
            </w:r>
          </w:p>
        </w:tc>
        <w:tc>
          <w:tcPr>
            <w:tcW w:w="1455"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参观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trike/>
                <w:sz w:val="22"/>
                <w:szCs w:val="22"/>
              </w:rPr>
            </w:pPr>
            <w:r>
              <w:rPr>
                <w:rFonts w:hint="eastAsia" w:asciiTheme="majorEastAsia" w:hAnsiTheme="majorEastAsia" w:eastAsiaTheme="majorEastAsia" w:cstheme="majorEastAsia"/>
                <w:sz w:val="22"/>
                <w:szCs w:val="22"/>
              </w:rPr>
              <w:t>海军博物馆或中船重工或海尔集团</w:t>
            </w:r>
          </w:p>
        </w:tc>
        <w:tc>
          <w:tcPr>
            <w:tcW w:w="150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参观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trike/>
                <w:sz w:val="22"/>
                <w:szCs w:val="22"/>
              </w:rPr>
            </w:pPr>
            <w:r>
              <w:rPr>
                <w:rFonts w:hint="eastAsia" w:asciiTheme="majorEastAsia" w:hAnsiTheme="majorEastAsia" w:eastAsiaTheme="majorEastAsia" w:cstheme="majorEastAsia"/>
                <w:sz w:val="22"/>
                <w:szCs w:val="22"/>
              </w:rPr>
              <w:t>青岛前湾港“无人”码头、青岛海洋科技馆</w:t>
            </w:r>
          </w:p>
        </w:tc>
        <w:tc>
          <w:tcPr>
            <w:tcW w:w="1575" w:type="dxa"/>
            <w:vMerge w:val="restart"/>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生涯案例分析与升学路径规划分享</w:t>
            </w:r>
          </w:p>
        </w:tc>
        <w:tc>
          <w:tcPr>
            <w:tcW w:w="117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颁发证书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92" w:hRule="atLeast"/>
          <w:jc w:val="center"/>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下午</w:t>
            </w:r>
          </w:p>
        </w:tc>
        <w:tc>
          <w:tcPr>
            <w:tcW w:w="1622"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生涯课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建立生涯意识</w:t>
            </w:r>
          </w:p>
        </w:tc>
        <w:tc>
          <w:tcPr>
            <w:tcW w:w="166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创新课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破解兴趣密码科技创新创客空间体验</w:t>
            </w:r>
          </w:p>
        </w:tc>
        <w:tc>
          <w:tcPr>
            <w:tcW w:w="1455"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中国石油大学学科体验</w:t>
            </w:r>
          </w:p>
        </w:tc>
        <w:tc>
          <w:tcPr>
            <w:tcW w:w="150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参观总结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生涯与升学规划设计指导</w:t>
            </w:r>
          </w:p>
        </w:tc>
        <w:tc>
          <w:tcPr>
            <w:tcW w:w="1575" w:type="dxa"/>
            <w:vMerge w:val="continue"/>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p>
        </w:tc>
        <w:tc>
          <w:tcPr>
            <w:tcW w:w="117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闭营仪式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踏上归程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49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晚上</w:t>
            </w:r>
          </w:p>
        </w:tc>
        <w:tc>
          <w:tcPr>
            <w:tcW w:w="1622"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lang w:eastAsia="zh-CN"/>
              </w:rPr>
              <w:t>设计</w:t>
            </w:r>
            <w:r>
              <w:rPr>
                <w:rFonts w:hint="eastAsia" w:asciiTheme="majorEastAsia" w:hAnsiTheme="majorEastAsia" w:eastAsiaTheme="majorEastAsia" w:cstheme="majorEastAsia"/>
                <w:sz w:val="22"/>
                <w:szCs w:val="22"/>
              </w:rPr>
              <w:t>生涯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规划书</w:t>
            </w:r>
          </w:p>
        </w:tc>
        <w:tc>
          <w:tcPr>
            <w:tcW w:w="1663"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行业发展趋势与职业选择</w:t>
            </w:r>
          </w:p>
        </w:tc>
        <w:tc>
          <w:tcPr>
            <w:tcW w:w="1455"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大学与专业知识介绍</w:t>
            </w:r>
          </w:p>
        </w:tc>
        <w:tc>
          <w:tcPr>
            <w:tcW w:w="1500"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重新修订生涯与升学规划设计书</w:t>
            </w:r>
          </w:p>
        </w:tc>
        <w:tc>
          <w:tcPr>
            <w:tcW w:w="1575" w:type="dxa"/>
            <w:shd w:val="clear" w:color="auto" w:fill="DBEEF3"/>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和未来对话</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生涯实施方案指导</w:t>
            </w:r>
          </w:p>
        </w:tc>
        <w:tc>
          <w:tcPr>
            <w:tcW w:w="1172" w:type="dxa"/>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asciiTheme="majorEastAsia" w:hAnsiTheme="majorEastAsia" w:eastAsiaTheme="majorEastAsia" w:cstheme="majorEastAsia"/>
                <w:sz w:val="22"/>
                <w:szCs w:val="22"/>
              </w:rPr>
            </w:pPr>
          </w:p>
        </w:tc>
      </w:tr>
    </w:tbl>
    <w:p>
      <w:pPr>
        <w:widowControl/>
        <w:shd w:val="clear" w:color="auto" w:fill="FFFFFF"/>
        <w:spacing w:line="360" w:lineRule="auto"/>
        <w:ind w:firstLine="480" w:firstLineChars="200"/>
        <w:jc w:val="left"/>
        <w:textAlignment w:val="baseline"/>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sz w:val="24"/>
        </w:rPr>
        <w:t>注：各项目会根据天气交通等实际情况有所调整，活动总量不变。</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三、参营时间</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2018年7月23—28月（22日报到、29日返程）</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四、参营对象、地点</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全国初中、高中生</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参营地点：山东青岛</w:t>
      </w:r>
    </w:p>
    <w:p>
      <w:pPr>
        <w:spacing w:line="360" w:lineRule="auto"/>
        <w:ind w:firstLine="482" w:firstLineChars="200"/>
        <w:rPr>
          <w:rFonts w:hint="eastAsia" w:asciiTheme="majorEastAsia" w:hAnsiTheme="majorEastAsia" w:eastAsiaTheme="majorEastAsia" w:cstheme="majorEastAsia"/>
          <w:b/>
          <w:bCs/>
          <w:sz w:val="24"/>
        </w:rPr>
      </w:pPr>
    </w:p>
    <w:p>
      <w:pPr>
        <w:spacing w:line="360" w:lineRule="auto"/>
        <w:ind w:firstLine="482" w:firstLineChars="200"/>
        <w:rPr>
          <w:rFonts w:hint="eastAsia" w:asciiTheme="majorEastAsia" w:hAnsiTheme="majorEastAsia" w:eastAsiaTheme="majorEastAsia" w:cstheme="majorEastAsia"/>
          <w:b/>
          <w:bCs/>
          <w:sz w:val="24"/>
        </w:rPr>
      </w:pPr>
    </w:p>
    <w:p>
      <w:pPr>
        <w:spacing w:line="360" w:lineRule="auto"/>
        <w:ind w:firstLine="482" w:firstLineChars="200"/>
        <w:rPr>
          <w:rFonts w:hint="eastAsia" w:asciiTheme="majorEastAsia" w:hAnsiTheme="majorEastAsia" w:eastAsiaTheme="majorEastAsia" w:cstheme="majorEastAsia"/>
          <w:b/>
          <w:bCs/>
          <w:sz w:val="24"/>
        </w:rPr>
      </w:pPr>
    </w:p>
    <w:p>
      <w:p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五、授课专家与领导</w:t>
      </w:r>
    </w:p>
    <w:p>
      <w:p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李文辉</w:t>
      </w:r>
      <w:r>
        <w:rPr>
          <w:rFonts w:hint="eastAsia" w:asciiTheme="majorEastAsia" w:hAnsiTheme="majorEastAsia" w:eastAsiaTheme="majorEastAsia" w:cstheme="majorEastAsia"/>
          <w:sz w:val="24"/>
        </w:rPr>
        <w:t>：中国人生科学学会学生发展指导专业委员会理事长、中国智慧工程研究会生涯规划教育研究总课题组负责人、中国学校生涯规划教育网总编、中国首届高中生涯规划教育研讨会活动策划者。</w:t>
      </w:r>
    </w:p>
    <w:p>
      <w:p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刘崇利：</w:t>
      </w:r>
      <w:r>
        <w:rPr>
          <w:rFonts w:hint="eastAsia" w:asciiTheme="majorEastAsia" w:hAnsiTheme="majorEastAsia" w:eastAsiaTheme="majorEastAsia" w:cstheme="majorEastAsia"/>
          <w:sz w:val="24"/>
        </w:rPr>
        <w:t>中国人生科学学会学生发展指导专业委员会理事 、全国高考志愿填报与学生未来发展研究总课题组核心专家 、教育部个人教育规划师 、山东大学创新创业训练营顾</w:t>
      </w:r>
    </w:p>
    <w:p>
      <w:p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徐秀琴：</w:t>
      </w:r>
      <w:r>
        <w:rPr>
          <w:rFonts w:hint="eastAsia" w:asciiTheme="majorEastAsia" w:hAnsiTheme="majorEastAsia" w:eastAsiaTheme="majorEastAsia" w:cstheme="majorEastAsia"/>
          <w:sz w:val="24"/>
        </w:rPr>
        <w:t>国家生涯规划师、国家二级心理咨询师、中国人生科学学会学生发展指导专业委员会 研究员、全国高考志愿填报与学生未来发展研究总课题组核心专家、山东大学创业训练营学生发展导师</w:t>
      </w:r>
    </w:p>
    <w:p>
      <w:p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赵春雨：</w:t>
      </w:r>
      <w:r>
        <w:rPr>
          <w:rFonts w:hint="eastAsia" w:asciiTheme="majorEastAsia" w:hAnsiTheme="majorEastAsia" w:eastAsiaTheme="majorEastAsia" w:cstheme="majorEastAsia"/>
          <w:sz w:val="24"/>
        </w:rPr>
        <w:t>山东大学金融硕士、山东大学经济学院本科生成长导师、山东大学学生创新创业实践中心副主席兼山东大学科普协会会长</w:t>
      </w:r>
    </w:p>
    <w:p>
      <w:pPr>
        <w:numPr>
          <w:ilvl w:val="0"/>
          <w:numId w:val="1"/>
        </w:num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参营须知</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1、报到时需携带身份证和学生证。</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2、营员在规定时间内未报到将视为自动放弃入营资格，报到后要求全程参加夏令营活动，无故缺席将取消营员资格。</w:t>
      </w:r>
    </w:p>
    <w:p>
      <w:pPr>
        <w:numPr>
          <w:ilvl w:val="0"/>
          <w:numId w:val="2"/>
        </w:num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夏令营将负责解决所有外地各校同学住宿问题，对于青岛地区的同学，恕不提供住宿。请同学们携带好必要的生活用品、随身物品以及用于其它开销的零用钱等。7月份青岛天气炎热，建议携带防暑防晒用品。</w:t>
      </w:r>
    </w:p>
    <w:p>
      <w:pPr>
        <w:numPr>
          <w:ilvl w:val="0"/>
          <w:numId w:val="2"/>
        </w:numPr>
        <w:spacing w:line="360" w:lineRule="auto"/>
        <w:ind w:firstLine="480"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其他事宜欢迎通过以下联系方式垂询： 010-61354811 </w:t>
      </w: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widowControl w:val="0"/>
        <w:numPr>
          <w:numId w:val="0"/>
        </w:numPr>
        <w:spacing w:line="360" w:lineRule="auto"/>
        <w:jc w:val="both"/>
        <w:rPr>
          <w:rFonts w:hint="eastAsia" w:asciiTheme="majorEastAsia" w:hAnsiTheme="majorEastAsia" w:eastAsiaTheme="majorEastAsia" w:cstheme="majorEastAsia"/>
          <w:sz w:val="24"/>
        </w:rPr>
      </w:pPr>
    </w:p>
    <w:p>
      <w:pPr>
        <w:numPr>
          <w:ilvl w:val="0"/>
          <w:numId w:val="1"/>
        </w:num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生涯研学营行程【参观场地介绍】</w:t>
      </w:r>
    </w:p>
    <w:p>
      <w:pPr>
        <w:spacing w:line="360" w:lineRule="auto"/>
        <w:ind w:firstLine="442" w:firstLineChars="200"/>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1、学生创新创业训练示范基地</w:t>
      </w:r>
    </w:p>
    <w:p>
      <w:pPr>
        <w:spacing w:line="360" w:lineRule="auto"/>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drawing>
          <wp:inline distT="0" distB="0" distL="114300" distR="114300">
            <wp:extent cx="2609215" cy="2609215"/>
            <wp:effectExtent l="0" t="0" r="635" b="635"/>
            <wp:docPr id="3" name="图片 1" descr="151720800885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517208008854151.jpg"/>
                    <pic:cNvPicPr>
                      <a:picLocks noChangeAspect="1"/>
                    </pic:cNvPicPr>
                  </pic:nvPicPr>
                  <pic:blipFill>
                    <a:blip r:embed="rId4" cstate="print"/>
                    <a:stretch>
                      <a:fillRect/>
                    </a:stretch>
                  </pic:blipFill>
                  <pic:spPr>
                    <a:xfrm>
                      <a:off x="0" y="0"/>
                      <a:ext cx="2609215" cy="2609215"/>
                    </a:xfrm>
                    <a:prstGeom prst="rect">
                      <a:avLst/>
                    </a:prstGeom>
                    <a:noFill/>
                    <a:ln w="9525">
                      <a:noFill/>
                    </a:ln>
                  </pic:spPr>
                </pic:pic>
              </a:graphicData>
            </a:graphic>
          </wp:inline>
        </w:drawing>
      </w:r>
      <w:r>
        <w:rPr>
          <w:rFonts w:hint="eastAsia" w:asciiTheme="majorEastAsia" w:hAnsiTheme="majorEastAsia" w:eastAsiaTheme="majorEastAsia" w:cstheme="majorEastAsia"/>
          <w:sz w:val="22"/>
          <w:szCs w:val="22"/>
        </w:rPr>
        <w:drawing>
          <wp:inline distT="0" distB="0" distL="114300" distR="114300">
            <wp:extent cx="2590800" cy="2590800"/>
            <wp:effectExtent l="0" t="0" r="0" b="0"/>
            <wp:docPr id="4" name="图片 2" descr="151720801383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517208013836780.jpg"/>
                    <pic:cNvPicPr>
                      <a:picLocks noChangeAspect="1"/>
                    </pic:cNvPicPr>
                  </pic:nvPicPr>
                  <pic:blipFill>
                    <a:blip r:embed="rId5" cstate="print"/>
                    <a:stretch>
                      <a:fillRect/>
                    </a:stretch>
                  </pic:blipFill>
                  <pic:spPr>
                    <a:xfrm>
                      <a:off x="0" y="0"/>
                      <a:ext cx="2590800" cy="2590800"/>
                    </a:xfrm>
                    <a:prstGeom prst="rect">
                      <a:avLst/>
                    </a:prstGeom>
                    <a:noFill/>
                    <a:ln w="9525">
                      <a:noFill/>
                    </a:ln>
                  </pic:spPr>
                </pic:pic>
              </a:graphicData>
            </a:graphic>
          </wp:inline>
        </w:drawing>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在这里你可以看到：书法机器人现场写字、</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在这里你可以参加机器人编程、三D打印制作，能否把想法变成现实，看看你到底有没有创新创业的潜质呢？</w:t>
      </w:r>
      <w:bookmarkStart w:id="0" w:name="_GoBack"/>
      <w:bookmarkEnd w:id="0"/>
    </w:p>
    <w:p>
      <w:pPr>
        <w:numPr>
          <w:ilvl w:val="0"/>
          <w:numId w:val="3"/>
        </w:numPr>
        <w:spacing w:line="360" w:lineRule="auto"/>
        <w:ind w:firstLine="442" w:firstLineChars="200"/>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青岛前湾港“无人”码头</w:t>
      </w:r>
    </w:p>
    <w:p>
      <w:pPr>
        <w:spacing w:line="360" w:lineRule="auto"/>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w:t>
      </w:r>
      <w:r>
        <w:rPr>
          <w:rFonts w:hint="eastAsia" w:asciiTheme="majorEastAsia" w:hAnsiTheme="majorEastAsia" w:eastAsiaTheme="majorEastAsia" w:cstheme="majorEastAsia"/>
          <w:sz w:val="22"/>
          <w:szCs w:val="22"/>
        </w:rPr>
        <w:drawing>
          <wp:inline distT="0" distB="0" distL="114300" distR="114300">
            <wp:extent cx="3318510" cy="2077085"/>
            <wp:effectExtent l="0" t="0" r="15240" b="18415"/>
            <wp:docPr id="5" name="图片 3" descr="http://www.cnhubei.com/xwzt/2017/sdx/zx/201712/W02017121942513643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http://www.cnhubei.com/xwzt/2017/sdx/zx/201712/W020171219425136437687.jpg"/>
                    <pic:cNvPicPr>
                      <a:picLocks noChangeAspect="1"/>
                    </pic:cNvPicPr>
                  </pic:nvPicPr>
                  <pic:blipFill>
                    <a:blip r:embed="rId6" cstate="print"/>
                    <a:stretch>
                      <a:fillRect/>
                    </a:stretch>
                  </pic:blipFill>
                  <pic:spPr>
                    <a:xfrm>
                      <a:off x="0" y="0"/>
                      <a:ext cx="3318510" cy="2077085"/>
                    </a:xfrm>
                    <a:prstGeom prst="rect">
                      <a:avLst/>
                    </a:prstGeom>
                    <a:noFill/>
                    <a:ln w="9525">
                      <a:noFill/>
                    </a:ln>
                  </pic:spPr>
                </pic:pic>
              </a:graphicData>
            </a:graphic>
          </wp:inline>
        </w:drawing>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亚洲首个真正意义上的全自动化集装箱码头”：一群不同类型的机器人在现场高效协同作业，井然有序。偌大的码头，几乎不见一个人。巨大的桥吊矗立，码头上整齐停放着无人驾驶的自动引导运输车（AGV），没有工作人员穿梭的身影。</w:t>
      </w:r>
    </w:p>
    <w:p>
      <w:pPr>
        <w:spacing w:line="360" w:lineRule="auto"/>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          </w:t>
      </w:r>
      <w:r>
        <w:rPr>
          <w:rFonts w:hint="eastAsia" w:asciiTheme="majorEastAsia" w:hAnsiTheme="majorEastAsia" w:eastAsiaTheme="majorEastAsia" w:cstheme="majorEastAsia"/>
          <w:sz w:val="22"/>
          <w:szCs w:val="22"/>
        </w:rPr>
        <w:drawing>
          <wp:inline distT="0" distB="0" distL="114300" distR="114300">
            <wp:extent cx="3009900" cy="2004695"/>
            <wp:effectExtent l="0" t="0" r="0" b="14605"/>
            <wp:docPr id="12" name="图片 4" descr="资料图片：上海洋山深水港四期工程码头（局部）。新华社记者 申宏 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资料图片：上海洋山深水港四期工程码头（局部）。新华社记者 申宏 摄"/>
                    <pic:cNvPicPr>
                      <a:picLocks noChangeAspect="1"/>
                    </pic:cNvPicPr>
                  </pic:nvPicPr>
                  <pic:blipFill>
                    <a:blip r:embed="rId7" cstate="print"/>
                    <a:stretch>
                      <a:fillRect/>
                    </a:stretch>
                  </pic:blipFill>
                  <pic:spPr>
                    <a:xfrm>
                      <a:off x="0" y="0"/>
                      <a:ext cx="3009900" cy="2004695"/>
                    </a:xfrm>
                    <a:prstGeom prst="rect">
                      <a:avLst/>
                    </a:prstGeom>
                    <a:noFill/>
                    <a:ln w="9525">
                      <a:noFill/>
                    </a:ln>
                  </pic:spPr>
                </pic:pic>
              </a:graphicData>
            </a:graphic>
          </wp:inline>
        </w:drawing>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同学们，你可知道建设自动化码头的意义是什么？有多少人在指挥着这些机器人？他们都是学习什么专业的？</w:t>
      </w:r>
    </w:p>
    <w:p>
      <w:pPr>
        <w:spacing w:line="360" w:lineRule="auto"/>
        <w:ind w:firstLine="442" w:firstLineChars="200"/>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rPr>
        <w:t>3、青岛海洋科技馆</w:t>
      </w:r>
    </w:p>
    <w:p>
      <w:pPr>
        <w:spacing w:line="360" w:lineRule="auto"/>
        <w:jc w:val="center"/>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drawing>
          <wp:inline distT="0" distB="0" distL="114300" distR="114300">
            <wp:extent cx="3237865" cy="1957070"/>
            <wp:effectExtent l="0" t="0" r="635" b="508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cstate="print"/>
                    <a:stretch>
                      <a:fillRect/>
                    </a:stretch>
                  </pic:blipFill>
                  <pic:spPr>
                    <a:xfrm>
                      <a:off x="0" y="0"/>
                      <a:ext cx="3237865" cy="1957070"/>
                    </a:xfrm>
                    <a:prstGeom prst="rect">
                      <a:avLst/>
                    </a:prstGeom>
                    <a:noFill/>
                    <a:ln w="9525">
                      <a:noFill/>
                    </a:ln>
                  </pic:spPr>
                </pic:pic>
              </a:graphicData>
            </a:graphic>
          </wp:inline>
        </w:drawing>
      </w:r>
      <w:r>
        <w:rPr>
          <w:rFonts w:hint="eastAsia" w:asciiTheme="majorEastAsia" w:hAnsiTheme="majorEastAsia" w:eastAsiaTheme="majorEastAsia" w:cstheme="majorEastAsia"/>
          <w:sz w:val="22"/>
          <w:szCs w:val="22"/>
        </w:rPr>
        <w:fldChar w:fldCharType="begin"/>
      </w:r>
      <w:r>
        <w:rPr>
          <w:rFonts w:hint="eastAsia" w:asciiTheme="majorEastAsia" w:hAnsiTheme="majorEastAsia" w:eastAsiaTheme="majorEastAsia" w:cstheme="majorEastAsia"/>
          <w:sz w:val="22"/>
          <w:szCs w:val="22"/>
        </w:rPr>
        <w:instrText xml:space="preserve"> INCLUDEPICTURE "http://www.qdaqua.com/neditor/uploadfile/img/20110504163904802.JPG" \* MERGEFORMATINET </w:instrText>
      </w:r>
      <w:r>
        <w:rPr>
          <w:rFonts w:hint="eastAsia" w:asciiTheme="majorEastAsia" w:hAnsiTheme="majorEastAsia" w:eastAsiaTheme="majorEastAsia" w:cstheme="majorEastAsia"/>
          <w:sz w:val="22"/>
          <w:szCs w:val="22"/>
        </w:rPr>
        <w:fldChar w:fldCharType="separate"/>
      </w:r>
      <w:r>
        <w:rPr>
          <w:rFonts w:hint="eastAsia" w:asciiTheme="majorEastAsia" w:hAnsiTheme="majorEastAsia" w:eastAsiaTheme="majorEastAsia" w:cstheme="majorEastAsia"/>
          <w:sz w:val="22"/>
          <w:szCs w:val="22"/>
        </w:rPr>
        <w:drawing>
          <wp:inline distT="0" distB="0" distL="114300" distR="114300">
            <wp:extent cx="3220085" cy="2418080"/>
            <wp:effectExtent l="0" t="0" r="18415" b="1270"/>
            <wp:docPr id="14" name="图片 6" descr="点击查看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点击查看大图"/>
                    <pic:cNvPicPr>
                      <a:picLocks noChangeAspect="1"/>
                    </pic:cNvPicPr>
                  </pic:nvPicPr>
                  <pic:blipFill>
                    <a:blip r:embed="rId9" cstate="print"/>
                    <a:stretch>
                      <a:fillRect/>
                    </a:stretch>
                  </pic:blipFill>
                  <pic:spPr>
                    <a:xfrm>
                      <a:off x="0" y="0"/>
                      <a:ext cx="3220085" cy="2418080"/>
                    </a:xfrm>
                    <a:prstGeom prst="rect">
                      <a:avLst/>
                    </a:prstGeom>
                    <a:noFill/>
                    <a:ln w="9525">
                      <a:noFill/>
                    </a:ln>
                  </pic:spPr>
                </pic:pic>
              </a:graphicData>
            </a:graphic>
          </wp:inline>
        </w:drawing>
      </w:r>
      <w:r>
        <w:rPr>
          <w:rFonts w:hint="eastAsia" w:asciiTheme="majorEastAsia" w:hAnsiTheme="majorEastAsia" w:eastAsiaTheme="majorEastAsia" w:cstheme="majorEastAsia"/>
          <w:sz w:val="22"/>
          <w:szCs w:val="22"/>
        </w:rPr>
        <w:fldChar w:fldCharType="end"/>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同学们，你知道和海洋有关系的行业和职业吗？你怎么能理解“海洋强国”？什么是临海经济？比如</w:t>
      </w:r>
      <w:r>
        <w:fldChar w:fldCharType="begin"/>
      </w:r>
      <w:r>
        <w:instrText xml:space="preserve"> HYPERLINK "http://www.so.com/s?q=%E6%B5%B7%E6%B4%8B%E5%8C%96%E5%AD%A6&amp;ie=utf-8&amp;src=internal_wenda_recommend_textn" \t "https://wenda.so.com/q/_blank" </w:instrText>
      </w:r>
      <w:r>
        <w:fldChar w:fldCharType="separate"/>
      </w:r>
      <w:r>
        <w:rPr>
          <w:rFonts w:hint="eastAsia" w:asciiTheme="majorEastAsia" w:hAnsiTheme="majorEastAsia" w:eastAsiaTheme="majorEastAsia" w:cstheme="majorEastAsia"/>
          <w:sz w:val="22"/>
          <w:szCs w:val="22"/>
        </w:rPr>
        <w:t>海洋化学</w:t>
      </w:r>
      <w:r>
        <w:rPr>
          <w:rFonts w:hint="eastAsia" w:asciiTheme="majorEastAsia" w:hAnsiTheme="majorEastAsia" w:eastAsiaTheme="majorEastAsia" w:cstheme="majorEastAsia"/>
          <w:sz w:val="22"/>
          <w:szCs w:val="22"/>
        </w:rPr>
        <w:fldChar w:fldCharType="end"/>
      </w:r>
      <w:r>
        <w:rPr>
          <w:rFonts w:hint="eastAsia" w:asciiTheme="majorEastAsia" w:hAnsiTheme="majorEastAsia" w:eastAsiaTheme="majorEastAsia" w:cstheme="majorEastAsia"/>
          <w:sz w:val="22"/>
          <w:szCs w:val="22"/>
        </w:rPr>
        <w:t>，海洋技术，</w:t>
      </w:r>
      <w:r>
        <w:fldChar w:fldCharType="begin"/>
      </w:r>
      <w:r>
        <w:instrText xml:space="preserve"> HYPERLINK "http://www.so.com/s?q=%E6%B8%AF%E5%8F%A3%E8%88%AA%E9%81%93%E4%B8%8E%E6%B5%B7%E5%B2%B8%E5%B7%A5%E7%A8%8B&amp;ie=utf-8&amp;src=internal_wenda_recommend_textn" \t "https://wenda.so.com/q/_blank" </w:instrText>
      </w:r>
      <w:r>
        <w:fldChar w:fldCharType="separate"/>
      </w:r>
      <w:r>
        <w:rPr>
          <w:rFonts w:hint="eastAsia" w:asciiTheme="majorEastAsia" w:hAnsiTheme="majorEastAsia" w:eastAsiaTheme="majorEastAsia" w:cstheme="majorEastAsia"/>
          <w:sz w:val="22"/>
          <w:szCs w:val="22"/>
        </w:rPr>
        <w:t>港口航道与海岸工程</w:t>
      </w:r>
      <w:r>
        <w:rPr>
          <w:rFonts w:hint="eastAsia" w:asciiTheme="majorEastAsia" w:hAnsiTheme="majorEastAsia" w:eastAsiaTheme="majorEastAsia" w:cstheme="majorEastAsia"/>
          <w:sz w:val="22"/>
          <w:szCs w:val="22"/>
        </w:rPr>
        <w:fldChar w:fldCharType="end"/>
      </w:r>
      <w:r>
        <w:rPr>
          <w:rFonts w:hint="eastAsia" w:asciiTheme="majorEastAsia" w:hAnsiTheme="majorEastAsia" w:eastAsiaTheme="majorEastAsia" w:cstheme="majorEastAsia"/>
          <w:sz w:val="22"/>
          <w:szCs w:val="22"/>
        </w:rPr>
        <w:t>，</w:t>
      </w:r>
      <w:r>
        <w:fldChar w:fldCharType="begin"/>
      </w:r>
      <w:r>
        <w:instrText xml:space="preserve"> HYPERLINK "http://www.so.com/s?q=%E8%88%B9%E8%88%B6%E4%B8%8E%E6%B5%B7%E6%B4%8B%E5%B7%A5%E7%A8%8B&amp;ie=utf-8&amp;src=internal_wenda_recommend_textn" \t "https://wenda.so.com/q/_blank" </w:instrText>
      </w:r>
      <w:r>
        <w:fldChar w:fldCharType="separate"/>
      </w:r>
      <w:r>
        <w:rPr>
          <w:rFonts w:hint="eastAsia" w:asciiTheme="majorEastAsia" w:hAnsiTheme="majorEastAsia" w:eastAsiaTheme="majorEastAsia" w:cstheme="majorEastAsia"/>
          <w:sz w:val="22"/>
          <w:szCs w:val="22"/>
        </w:rPr>
        <w:t>船舶与海洋工程</w:t>
      </w:r>
      <w:r>
        <w:rPr>
          <w:rFonts w:hint="eastAsia" w:asciiTheme="majorEastAsia" w:hAnsiTheme="majorEastAsia" w:eastAsiaTheme="majorEastAsia" w:cstheme="majorEastAsia"/>
          <w:sz w:val="22"/>
          <w:szCs w:val="22"/>
        </w:rPr>
        <w:fldChar w:fldCharType="end"/>
      </w:r>
      <w:r>
        <w:rPr>
          <w:rFonts w:hint="eastAsia" w:asciiTheme="majorEastAsia" w:hAnsiTheme="majorEastAsia" w:eastAsiaTheme="majorEastAsia" w:cstheme="majorEastAsia"/>
          <w:sz w:val="22"/>
          <w:szCs w:val="22"/>
        </w:rPr>
        <w:t>，海洋生物，</w:t>
      </w:r>
      <w:r>
        <w:fldChar w:fldCharType="begin"/>
      </w:r>
      <w:r>
        <w:instrText xml:space="preserve"> HYPERLINK "http://www.so.com/s?q=%E8%8D%AF%E5%AD%A6&amp;ie=utf-8&amp;src=internal_wenda_recommend_textn" \t "https://wenda.so.com/q/_blank" </w:instrText>
      </w:r>
      <w:r>
        <w:fldChar w:fldCharType="separate"/>
      </w:r>
      <w:r>
        <w:rPr>
          <w:rFonts w:hint="eastAsia" w:asciiTheme="majorEastAsia" w:hAnsiTheme="majorEastAsia" w:eastAsiaTheme="majorEastAsia" w:cstheme="majorEastAsia"/>
          <w:sz w:val="22"/>
          <w:szCs w:val="22"/>
        </w:rPr>
        <w:t>药学</w:t>
      </w:r>
      <w:r>
        <w:rPr>
          <w:rFonts w:hint="eastAsia" w:asciiTheme="majorEastAsia" w:hAnsiTheme="majorEastAsia" w:eastAsiaTheme="majorEastAsia" w:cstheme="majorEastAsia"/>
          <w:sz w:val="22"/>
          <w:szCs w:val="22"/>
        </w:rPr>
        <w:fldChar w:fldCharType="end"/>
      </w:r>
      <w:r>
        <w:rPr>
          <w:rFonts w:hint="eastAsia" w:asciiTheme="majorEastAsia" w:hAnsiTheme="majorEastAsia" w:eastAsiaTheme="majorEastAsia" w:cstheme="majorEastAsia"/>
          <w:sz w:val="22"/>
          <w:szCs w:val="22"/>
        </w:rPr>
        <w:t>，</w:t>
      </w:r>
      <w:r>
        <w:fldChar w:fldCharType="begin"/>
      </w:r>
      <w:r>
        <w:instrText xml:space="preserve"> HYPERLINK "http://www.so.com/s?q=%E6%B5%B7%E6%B4%8B%E5%9C%B0%E8%B4%A8&amp;ie=utf-8&amp;src=internal_wenda_recommend_textn" \t "https://wenda.so.com/q/_blank" </w:instrText>
      </w:r>
      <w:r>
        <w:fldChar w:fldCharType="separate"/>
      </w:r>
      <w:r>
        <w:rPr>
          <w:rFonts w:hint="eastAsia" w:asciiTheme="majorEastAsia" w:hAnsiTheme="majorEastAsia" w:eastAsiaTheme="majorEastAsia" w:cstheme="majorEastAsia"/>
          <w:sz w:val="22"/>
          <w:szCs w:val="22"/>
        </w:rPr>
        <w:t>海洋地质</w:t>
      </w:r>
      <w:r>
        <w:rPr>
          <w:rFonts w:hint="eastAsia" w:asciiTheme="majorEastAsia" w:hAnsiTheme="majorEastAsia" w:eastAsiaTheme="majorEastAsia" w:cstheme="majorEastAsia"/>
          <w:sz w:val="22"/>
          <w:szCs w:val="22"/>
        </w:rPr>
        <w:fldChar w:fldCharType="end"/>
      </w:r>
      <w:r>
        <w:rPr>
          <w:rFonts w:hint="eastAsia" w:asciiTheme="majorEastAsia" w:hAnsiTheme="majorEastAsia" w:eastAsiaTheme="majorEastAsia" w:cstheme="majorEastAsia"/>
          <w:sz w:val="22"/>
          <w:szCs w:val="22"/>
        </w:rPr>
        <w:t>，这些专业你又了解多少呢？</w:t>
      </w:r>
    </w:p>
    <w:p>
      <w:pPr>
        <w:spacing w:line="360" w:lineRule="auto"/>
        <w:ind w:firstLine="442" w:firstLineChars="200"/>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lang w:val="en-US" w:eastAsia="zh-CN"/>
        </w:rPr>
        <w:t>4、</w:t>
      </w:r>
      <w:r>
        <w:rPr>
          <w:rFonts w:hint="eastAsia" w:asciiTheme="majorEastAsia" w:hAnsiTheme="majorEastAsia" w:eastAsiaTheme="majorEastAsia" w:cstheme="majorEastAsia"/>
          <w:b/>
          <w:bCs/>
          <w:sz w:val="22"/>
          <w:szCs w:val="22"/>
        </w:rPr>
        <w:t>青岛海军博物馆</w:t>
      </w:r>
    </w:p>
    <w:p>
      <w:pPr>
        <w:spacing w:line="360" w:lineRule="auto"/>
        <w:ind w:firstLine="480" w:firstLineChars="200"/>
        <w:rPr>
          <w:rFonts w:asciiTheme="majorEastAsia" w:hAnsiTheme="majorEastAsia" w:eastAsiaTheme="majorEastAsia" w:cstheme="majorEastAsia"/>
          <w:sz w:val="22"/>
          <w:szCs w:val="22"/>
        </w:rPr>
      </w:pPr>
      <w:r>
        <w:rPr>
          <w:rFonts w:ascii="宋体" w:hAnsi="宋体" w:eastAsia="宋体" w:cs="宋体"/>
          <w:sz w:val="24"/>
          <w:szCs w:val="24"/>
        </w:rPr>
        <w:drawing>
          <wp:inline distT="0" distB="0" distL="114300" distR="114300">
            <wp:extent cx="4762500" cy="3162300"/>
            <wp:effectExtent l="0" t="0" r="0" b="0"/>
            <wp:docPr id="1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6"/>
                    <pic:cNvPicPr>
                      <a:picLocks noChangeAspect="1"/>
                    </pic:cNvPicPr>
                  </pic:nvPicPr>
                  <pic:blipFill>
                    <a:blip r:embed="rId10"/>
                    <a:stretch>
                      <a:fillRect/>
                    </a:stretch>
                  </pic:blipFill>
                  <pic:spPr>
                    <a:xfrm>
                      <a:off x="0" y="0"/>
                      <a:ext cx="4762500" cy="3162300"/>
                    </a:xfrm>
                    <a:prstGeom prst="rect">
                      <a:avLst/>
                    </a:prstGeom>
                    <a:noFill/>
                    <a:ln w="9525">
                      <a:noFill/>
                    </a:ln>
                  </pic:spPr>
                </pic:pic>
              </a:graphicData>
            </a:graphic>
          </wp:inline>
        </w:drawing>
      </w:r>
    </w:p>
    <w:p>
      <w:pPr>
        <w:spacing w:line="360" w:lineRule="auto"/>
        <w:ind w:firstLine="440" w:firstLineChars="200"/>
        <w:rPr>
          <w:rFonts w:asciiTheme="majorEastAsia" w:hAnsiTheme="majorEastAsia" w:eastAsiaTheme="majorEastAsia" w:cstheme="majorEastAsia"/>
          <w:color w:val="333333"/>
          <w:sz w:val="22"/>
          <w:szCs w:val="22"/>
          <w:shd w:val="clear" w:color="auto" w:fill="FFFFFF"/>
        </w:rPr>
      </w:pPr>
      <w:r>
        <w:rPr>
          <w:rFonts w:hint="eastAsia" w:asciiTheme="majorEastAsia" w:hAnsiTheme="majorEastAsia" w:eastAsiaTheme="majorEastAsia" w:cstheme="majorEastAsia"/>
          <w:color w:val="333333"/>
          <w:sz w:val="22"/>
          <w:szCs w:val="22"/>
          <w:shd w:val="clear" w:color="auto" w:fill="FFFFFF"/>
        </w:rPr>
        <w:t>中国唯一的一座全面反映中国海军发展的军事博物馆，</w:t>
      </w:r>
      <w:r>
        <w:rPr>
          <w:rFonts w:hint="eastAsia" w:asciiTheme="majorEastAsia" w:hAnsiTheme="majorEastAsia" w:eastAsiaTheme="majorEastAsia" w:cstheme="majorEastAsia"/>
          <w:sz w:val="22"/>
          <w:szCs w:val="22"/>
        </w:rPr>
        <w:t>青岛海军博物馆，</w:t>
      </w:r>
      <w:r>
        <w:rPr>
          <w:rFonts w:hint="eastAsia" w:asciiTheme="majorEastAsia" w:hAnsiTheme="majorEastAsia" w:eastAsiaTheme="majorEastAsia" w:cstheme="majorEastAsia"/>
          <w:color w:val="333333"/>
          <w:sz w:val="22"/>
          <w:szCs w:val="22"/>
          <w:shd w:val="clear" w:color="auto" w:fill="FFFFFF"/>
        </w:rPr>
        <w:t>带你走进中国海军！</w:t>
      </w:r>
    </w:p>
    <w:p>
      <w:pPr>
        <w:spacing w:line="360" w:lineRule="auto"/>
        <w:ind w:firstLine="440" w:firstLineChars="200"/>
        <w:rPr>
          <w:rFonts w:asciiTheme="majorEastAsia" w:hAnsiTheme="majorEastAsia" w:eastAsiaTheme="majorEastAsia" w:cstheme="majorEastAsia"/>
          <w:sz w:val="22"/>
          <w:szCs w:val="22"/>
        </w:rPr>
      </w:pPr>
    </w:p>
    <w:p>
      <w:pPr>
        <w:spacing w:line="360" w:lineRule="auto"/>
        <w:ind w:firstLine="442" w:firstLineChars="200"/>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lang w:val="en-US" w:eastAsia="zh-CN"/>
        </w:rPr>
        <w:t>5、</w:t>
      </w:r>
      <w:r>
        <w:rPr>
          <w:rFonts w:hint="eastAsia" w:asciiTheme="majorEastAsia" w:hAnsiTheme="majorEastAsia" w:eastAsiaTheme="majorEastAsia" w:cstheme="majorEastAsia"/>
          <w:b/>
          <w:bCs/>
          <w:sz w:val="22"/>
          <w:szCs w:val="22"/>
        </w:rPr>
        <w:t>中船重工（青岛造船厂）</w:t>
      </w:r>
    </w:p>
    <w:p>
      <w:pPr>
        <w:spacing w:line="360" w:lineRule="auto"/>
        <w:ind w:firstLine="420" w:firstLineChars="200"/>
        <w:jc w:val="center"/>
        <w:rPr>
          <w:rFonts w:asciiTheme="majorEastAsia" w:hAnsiTheme="majorEastAsia" w:eastAsiaTheme="majorEastAsia" w:cstheme="majorEastAsia"/>
          <w:sz w:val="22"/>
          <w:szCs w:val="22"/>
        </w:rPr>
      </w:pPr>
      <w:r>
        <w:drawing>
          <wp:inline distT="0" distB="0" distL="114300" distR="114300">
            <wp:extent cx="5270500" cy="2880360"/>
            <wp:effectExtent l="0" t="0" r="6350" b="1524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5270500" cy="2880360"/>
                    </a:xfrm>
                    <a:prstGeom prst="rect">
                      <a:avLst/>
                    </a:prstGeom>
                    <a:noFill/>
                    <a:ln w="9525">
                      <a:noFill/>
                    </a:ln>
                  </pic:spPr>
                </pic:pic>
              </a:graphicData>
            </a:graphic>
          </wp:inline>
        </w:drawing>
      </w:r>
    </w:p>
    <w:p>
      <w:pPr>
        <w:spacing w:line="360" w:lineRule="auto"/>
        <w:ind w:firstLine="440" w:firstLineChars="200"/>
        <w:rPr>
          <w:rFonts w:hint="eastAsia"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中船重工拥有中国最大的造修船基地，集中了中国舰船研究、设计的主要力量，有3万多名科研设计人员， 8个国家级重点实验室，7个国家级企业技术中心，150多个大型实验室，具有较强的自主创新和产品开发能力，能够按照世界知名船级社的规范和各种国际公约，设计、建造和坞修各种油船、化学品船、散货船、集装箱船、滚装船、LPG船、LNG船及工程船舶等，并出口到世界五大洲60多个国家和地区。</w:t>
      </w:r>
    </w:p>
    <w:p>
      <w:pPr>
        <w:spacing w:line="360" w:lineRule="auto"/>
        <w:ind w:firstLine="440" w:firstLineChars="200"/>
        <w:rPr>
          <w:rFonts w:hint="eastAsia" w:asciiTheme="majorEastAsia" w:hAnsiTheme="majorEastAsia" w:eastAsiaTheme="majorEastAsia" w:cstheme="majorEastAsia"/>
          <w:sz w:val="22"/>
          <w:szCs w:val="22"/>
        </w:rPr>
      </w:pPr>
    </w:p>
    <w:p>
      <w:pPr>
        <w:spacing w:line="360" w:lineRule="auto"/>
        <w:ind w:firstLine="442" w:firstLineChars="200"/>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lang w:val="en-US" w:eastAsia="zh-CN"/>
        </w:rPr>
        <w:t>6、</w:t>
      </w:r>
      <w:r>
        <w:rPr>
          <w:rFonts w:hint="eastAsia" w:asciiTheme="majorEastAsia" w:hAnsiTheme="majorEastAsia" w:eastAsiaTheme="majorEastAsia" w:cstheme="majorEastAsia"/>
          <w:b/>
          <w:bCs/>
          <w:sz w:val="22"/>
          <w:szCs w:val="22"/>
        </w:rPr>
        <w:t>海尔集团（未来家电）</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drawing>
          <wp:inline distT="0" distB="0" distL="114300" distR="114300">
            <wp:extent cx="3448685" cy="1802130"/>
            <wp:effectExtent l="0" t="0" r="18415" b="762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2" cstate="print"/>
                    <a:stretch>
                      <a:fillRect/>
                    </a:stretch>
                  </pic:blipFill>
                  <pic:spPr>
                    <a:xfrm>
                      <a:off x="0" y="0"/>
                      <a:ext cx="3448685" cy="1802130"/>
                    </a:xfrm>
                    <a:prstGeom prst="rect">
                      <a:avLst/>
                    </a:prstGeom>
                    <a:noFill/>
                    <a:ln w="9525">
                      <a:noFill/>
                    </a:ln>
                  </pic:spPr>
                </pic:pic>
              </a:graphicData>
            </a:graphic>
          </wp:inline>
        </w:drawing>
      </w:r>
    </w:p>
    <w:p>
      <w:pPr>
        <w:spacing w:line="360" w:lineRule="auto"/>
        <w:ind w:firstLine="440" w:firstLineChars="200"/>
        <w:rPr>
          <w:rFonts w:asciiTheme="majorEastAsia" w:hAnsiTheme="majorEastAsia" w:eastAsiaTheme="majorEastAsia" w:cstheme="majorEastAsia"/>
          <w:color w:val="000000"/>
          <w:sz w:val="22"/>
          <w:szCs w:val="22"/>
          <w:shd w:val="clear" w:color="auto" w:fill="FFFFFF"/>
        </w:rPr>
      </w:pPr>
      <w:r>
        <w:rPr>
          <w:rFonts w:hint="eastAsia" w:asciiTheme="majorEastAsia" w:hAnsiTheme="majorEastAsia" w:eastAsiaTheme="majorEastAsia" w:cstheme="majorEastAsia"/>
          <w:color w:val="000000"/>
          <w:sz w:val="22"/>
          <w:szCs w:val="22"/>
          <w:shd w:val="clear" w:color="auto" w:fill="FFFFFF"/>
        </w:rPr>
        <w:t>人工智能、物联网、大数据，当这些前沿技术与家电产品交织一起时，家电行业的发展边界早已打破传统意义上的定义，对于海尔集团的“未来家电”又能给我们带来怎样的启迪？</w:t>
      </w:r>
    </w:p>
    <w:p>
      <w:pPr>
        <w:spacing w:line="360" w:lineRule="auto"/>
        <w:ind w:firstLine="440" w:firstLineChars="200"/>
        <w:rPr>
          <w:rFonts w:asciiTheme="majorEastAsia" w:hAnsiTheme="majorEastAsia" w:eastAsiaTheme="majorEastAsia" w:cstheme="majorEastAsia"/>
          <w:color w:val="000000"/>
          <w:sz w:val="22"/>
          <w:szCs w:val="22"/>
          <w:shd w:val="clear" w:color="auto" w:fill="FFFFFF"/>
        </w:rPr>
      </w:pPr>
    </w:p>
    <w:p>
      <w:pPr>
        <w:numPr>
          <w:numId w:val="0"/>
        </w:numPr>
        <w:spacing w:line="360" w:lineRule="auto"/>
        <w:rPr>
          <w:rFonts w:asciiTheme="majorEastAsia" w:hAnsiTheme="majorEastAsia" w:eastAsiaTheme="majorEastAsia" w:cstheme="majorEastAsia"/>
          <w:b/>
          <w:bCs/>
          <w:sz w:val="22"/>
          <w:szCs w:val="22"/>
        </w:rPr>
      </w:pPr>
      <w:r>
        <w:rPr>
          <w:rFonts w:hint="eastAsia" w:asciiTheme="majorEastAsia" w:hAnsiTheme="majorEastAsia" w:eastAsiaTheme="majorEastAsia" w:cstheme="majorEastAsia"/>
          <w:b/>
          <w:bCs/>
          <w:sz w:val="22"/>
          <w:szCs w:val="22"/>
          <w:lang w:val="en-US" w:eastAsia="zh-CN"/>
        </w:rPr>
        <w:t>7、</w:t>
      </w:r>
      <w:r>
        <w:rPr>
          <w:rFonts w:hint="eastAsia" w:asciiTheme="majorEastAsia" w:hAnsiTheme="majorEastAsia" w:eastAsiaTheme="majorEastAsia" w:cstheme="majorEastAsia"/>
          <w:b/>
          <w:bCs/>
          <w:sz w:val="22"/>
          <w:szCs w:val="22"/>
        </w:rPr>
        <w:t>中国石油大学：</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drawing>
          <wp:inline distT="0" distB="0" distL="114300" distR="114300">
            <wp:extent cx="3716020" cy="2090420"/>
            <wp:effectExtent l="0" t="0" r="1778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cstate="print"/>
                    <a:stretch>
                      <a:fillRect/>
                    </a:stretch>
                  </pic:blipFill>
                  <pic:spPr>
                    <a:xfrm>
                      <a:off x="0" y="0"/>
                      <a:ext cx="3716020" cy="2090420"/>
                    </a:xfrm>
                    <a:prstGeom prst="rect">
                      <a:avLst/>
                    </a:prstGeom>
                    <a:noFill/>
                    <a:ln w="9525">
                      <a:noFill/>
                    </a:ln>
                  </pic:spPr>
                </pic:pic>
              </a:graphicData>
            </a:graphic>
          </wp:inline>
        </w:drawing>
      </w:r>
    </w:p>
    <w:p>
      <w:pPr>
        <w:spacing w:line="360" w:lineRule="auto"/>
        <w:ind w:firstLine="440" w:firstLineChars="200"/>
        <w:rPr>
          <w:rFonts w:asciiTheme="majorEastAsia" w:hAnsiTheme="majorEastAsia" w:eastAsiaTheme="majorEastAsia" w:cstheme="majorEastAsia"/>
          <w:color w:val="333333"/>
          <w:sz w:val="22"/>
          <w:szCs w:val="22"/>
          <w:shd w:val="clear" w:color="auto" w:fill="FFFFFF"/>
        </w:rPr>
      </w:pPr>
      <w:r>
        <w:rPr>
          <w:rFonts w:hint="eastAsia" w:asciiTheme="majorEastAsia" w:hAnsiTheme="majorEastAsia" w:eastAsiaTheme="majorEastAsia" w:cstheme="majorEastAsia"/>
          <w:color w:val="333333"/>
          <w:sz w:val="22"/>
          <w:szCs w:val="22"/>
          <w:shd w:val="clear" w:color="auto" w:fill="FFFFFF"/>
        </w:rPr>
        <w:t>石油、石化高层次人才培养重要基地、“石油科技人才的摇篮”等等美名是从何而来？</w:t>
      </w:r>
    </w:p>
    <w:p>
      <w:pPr>
        <w:spacing w:line="360" w:lineRule="auto"/>
        <w:ind w:firstLine="440" w:firstLineChars="200"/>
        <w:rPr>
          <w:rFonts w:asciiTheme="majorEastAsia" w:hAnsiTheme="majorEastAsia" w:eastAsiaTheme="majorEastAsia" w:cstheme="majorEastAsia"/>
          <w:color w:val="333333"/>
          <w:sz w:val="22"/>
          <w:szCs w:val="22"/>
          <w:shd w:val="clear" w:color="auto" w:fill="FFFFFF"/>
        </w:rPr>
      </w:pPr>
      <w:r>
        <w:rPr>
          <w:rFonts w:hint="eastAsia" w:asciiTheme="majorEastAsia" w:hAnsiTheme="majorEastAsia" w:eastAsiaTheme="majorEastAsia" w:cstheme="majorEastAsia"/>
          <w:color w:val="333333"/>
          <w:sz w:val="22"/>
          <w:szCs w:val="22"/>
          <w:shd w:val="clear" w:color="auto" w:fill="FFFFFF"/>
        </w:rPr>
        <w:t>重质油国家重点实验室、海洋物探及勘探设备国家工程实验室、油气加工新技术教育部工程研究中心又包含着怎样的奥秘？</w:t>
      </w:r>
    </w:p>
    <w:p>
      <w:pPr>
        <w:spacing w:line="360" w:lineRule="auto"/>
        <w:ind w:firstLine="440" w:firstLineChars="200"/>
        <w:rPr>
          <w:rFonts w:asciiTheme="majorEastAsia" w:hAnsiTheme="majorEastAsia" w:eastAsiaTheme="majorEastAsia" w:cstheme="majorEastAsia"/>
          <w:color w:val="333333"/>
          <w:sz w:val="24"/>
          <w:shd w:val="clear" w:color="auto" w:fill="FFFFFF"/>
        </w:rPr>
      </w:pPr>
      <w:r>
        <w:rPr>
          <w:rFonts w:hint="eastAsia" w:asciiTheme="majorEastAsia" w:hAnsiTheme="majorEastAsia" w:eastAsiaTheme="majorEastAsia" w:cstheme="majorEastAsia"/>
          <w:color w:val="333333"/>
          <w:sz w:val="22"/>
          <w:szCs w:val="22"/>
          <w:shd w:val="clear" w:color="auto" w:fill="FFFFFF"/>
        </w:rPr>
        <w:t>中国石油大学欢迎各位同学们的到来！</w:t>
      </w:r>
    </w:p>
    <w:p>
      <w:pPr>
        <w:numPr>
          <w:ilvl w:val="0"/>
          <w:numId w:val="1"/>
        </w:num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主要学习内容：</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【1】了解生涯规划，认识到做好生涯规划对自己的发展有很大的帮助，</w:t>
      </w:r>
      <w:r>
        <w:rPr>
          <w:rFonts w:hint="eastAsia" w:asciiTheme="majorEastAsia" w:hAnsiTheme="majorEastAsia" w:eastAsiaTheme="majorEastAsia" w:cstheme="majorEastAsia"/>
          <w:b/>
          <w:bCs/>
          <w:sz w:val="22"/>
          <w:szCs w:val="22"/>
        </w:rPr>
        <w:t>启发孩子思考未来</w:t>
      </w:r>
      <w:r>
        <w:rPr>
          <w:rFonts w:hint="eastAsia" w:asciiTheme="majorEastAsia" w:hAnsiTheme="majorEastAsia" w:eastAsiaTheme="majorEastAsia" w:cstheme="majorEastAsia"/>
          <w:sz w:val="22"/>
          <w:szCs w:val="22"/>
        </w:rPr>
        <w:t xml:space="preserve">； </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【2】清晰生涯角色，明确生涯角色和阶段任务，</w:t>
      </w:r>
      <w:r>
        <w:rPr>
          <w:rFonts w:hint="eastAsia" w:asciiTheme="majorEastAsia" w:hAnsiTheme="majorEastAsia" w:eastAsiaTheme="majorEastAsia" w:cstheme="majorEastAsia"/>
          <w:b/>
          <w:bCs/>
          <w:sz w:val="22"/>
          <w:szCs w:val="22"/>
        </w:rPr>
        <w:t>聚焦学业，增强学习内驱力</w:t>
      </w:r>
      <w:r>
        <w:rPr>
          <w:rFonts w:hint="eastAsia" w:asciiTheme="majorEastAsia" w:hAnsiTheme="majorEastAsia" w:eastAsiaTheme="majorEastAsia" w:cstheme="majorEastAsia"/>
          <w:sz w:val="22"/>
          <w:szCs w:val="22"/>
        </w:rPr>
        <w:t>；</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【3】探索自我特质，有助于</w:t>
      </w:r>
      <w:r>
        <w:rPr>
          <w:rFonts w:hint="eastAsia" w:asciiTheme="majorEastAsia" w:hAnsiTheme="majorEastAsia" w:eastAsiaTheme="majorEastAsia" w:cstheme="majorEastAsia"/>
          <w:b/>
          <w:bCs/>
          <w:sz w:val="22"/>
          <w:szCs w:val="22"/>
        </w:rPr>
        <w:t>大学专业定位、文理分科、6选3科目选择</w:t>
      </w:r>
      <w:r>
        <w:rPr>
          <w:rFonts w:hint="eastAsia" w:asciiTheme="majorEastAsia" w:hAnsiTheme="majorEastAsia" w:eastAsiaTheme="majorEastAsia" w:cstheme="majorEastAsia"/>
          <w:sz w:val="22"/>
          <w:szCs w:val="22"/>
        </w:rPr>
        <w:t>；</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【4】探索外部世界，</w:t>
      </w:r>
      <w:r>
        <w:rPr>
          <w:rFonts w:hint="eastAsia" w:asciiTheme="majorEastAsia" w:hAnsiTheme="majorEastAsia" w:eastAsiaTheme="majorEastAsia" w:cstheme="majorEastAsia"/>
          <w:b/>
          <w:bCs/>
          <w:sz w:val="22"/>
          <w:szCs w:val="22"/>
        </w:rPr>
        <w:t>亲身体验企业发展现状、用人策略及大学</w:t>
      </w:r>
      <w:r>
        <w:rPr>
          <w:rFonts w:hint="eastAsia" w:asciiTheme="majorEastAsia" w:hAnsiTheme="majorEastAsia" w:eastAsiaTheme="majorEastAsia" w:cstheme="majorEastAsia"/>
          <w:sz w:val="22"/>
          <w:szCs w:val="22"/>
        </w:rPr>
        <w:t>生活学习状态，</w:t>
      </w:r>
      <w:r>
        <w:rPr>
          <w:rFonts w:hint="eastAsia" w:asciiTheme="majorEastAsia" w:hAnsiTheme="majorEastAsia" w:eastAsiaTheme="majorEastAsia" w:cstheme="majorEastAsia"/>
          <w:b/>
          <w:bCs/>
          <w:sz w:val="22"/>
          <w:szCs w:val="22"/>
        </w:rPr>
        <w:t>聆听大学教师</w:t>
      </w:r>
      <w:r>
        <w:rPr>
          <w:rFonts w:hint="eastAsia" w:asciiTheme="majorEastAsia" w:hAnsiTheme="majorEastAsia" w:eastAsiaTheme="majorEastAsia" w:cstheme="majorEastAsia"/>
          <w:sz w:val="22"/>
          <w:szCs w:val="22"/>
        </w:rPr>
        <w:t>解读专业内涵；</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【5】了解现在中国发展和未来人才需求，</w:t>
      </w:r>
      <w:r>
        <w:rPr>
          <w:rFonts w:hint="eastAsia" w:asciiTheme="majorEastAsia" w:hAnsiTheme="majorEastAsia" w:eastAsiaTheme="majorEastAsia" w:cstheme="majorEastAsia"/>
          <w:b/>
          <w:bCs/>
          <w:sz w:val="22"/>
          <w:szCs w:val="22"/>
        </w:rPr>
        <w:t>定位发展方向</w:t>
      </w:r>
      <w:r>
        <w:rPr>
          <w:rFonts w:hint="eastAsia" w:asciiTheme="majorEastAsia" w:hAnsiTheme="majorEastAsia" w:eastAsiaTheme="majorEastAsia" w:cstheme="majorEastAsia"/>
          <w:sz w:val="22"/>
          <w:szCs w:val="22"/>
        </w:rPr>
        <w:t>。</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【6】科学测评与专家指导，学生发展指导测评，</w:t>
      </w:r>
      <w:r>
        <w:rPr>
          <w:rFonts w:hint="eastAsia" w:asciiTheme="majorEastAsia" w:hAnsiTheme="majorEastAsia" w:eastAsiaTheme="majorEastAsia" w:cstheme="majorEastAsia"/>
          <w:b/>
          <w:bCs/>
          <w:sz w:val="22"/>
          <w:szCs w:val="22"/>
        </w:rPr>
        <w:t>明确自己的生涯规划与升学路径。</w:t>
      </w:r>
    </w:p>
    <w:p>
      <w:pPr>
        <w:spacing w:line="360" w:lineRule="auto"/>
        <w:ind w:firstLine="440"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2"/>
          <w:szCs w:val="22"/>
        </w:rPr>
        <w:t>【7】深度体验创新工场，</w:t>
      </w:r>
      <w:r>
        <w:rPr>
          <w:rFonts w:hint="eastAsia" w:asciiTheme="majorEastAsia" w:hAnsiTheme="majorEastAsia" w:eastAsiaTheme="majorEastAsia" w:cstheme="majorEastAsia"/>
          <w:b/>
          <w:bCs/>
          <w:sz w:val="22"/>
          <w:szCs w:val="22"/>
        </w:rPr>
        <w:t>培养创新能力</w:t>
      </w:r>
      <w:r>
        <w:rPr>
          <w:rFonts w:hint="eastAsia" w:asciiTheme="majorEastAsia" w:hAnsiTheme="majorEastAsia" w:eastAsiaTheme="majorEastAsia" w:cstheme="majorEastAsia"/>
          <w:sz w:val="22"/>
          <w:szCs w:val="22"/>
        </w:rPr>
        <w:t>！</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九、接待标准</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住宿：2-4人/间，三星级酒店，空调、独卫、独浴。</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用餐：自助套餐和桌餐，荤素搭配，保证每日营养所需。</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用车：专业车队空调大巴，保证每人一个座位。</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辅导员： 1:15配比，确保每个营员得到足够的关注。</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保健医师：全程跟随服务，配有急救箱、担架等急救工具。</w:t>
      </w:r>
    </w:p>
    <w:p>
      <w:pPr>
        <w:spacing w:line="360" w:lineRule="auto"/>
        <w:ind w:firstLine="440" w:firstLineChars="200"/>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保险：活动全程投保最高保额为 25万元的人身意外伤害及医疗保险。</w:t>
      </w:r>
    </w:p>
    <w:p>
      <w:pPr>
        <w:spacing w:line="360" w:lineRule="auto"/>
        <w:ind w:firstLine="440"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2"/>
          <w:szCs w:val="22"/>
        </w:rPr>
        <w:t>赠品：设计精美的成长日记本、生涯手册、营服、营帽、营牌。</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十、颁发证书</w:t>
      </w:r>
    </w:p>
    <w:p>
      <w:pPr>
        <w:spacing w:line="360" w:lineRule="auto"/>
        <w:ind w:firstLine="440" w:firstLineChars="200"/>
        <w:rPr>
          <w:rFonts w:hint="eastAsia"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sz w:val="22"/>
          <w:szCs w:val="22"/>
        </w:rPr>
        <w:t>由主办单位（中国人生科学学会学生发展指导专委会）颁发参营证书。可作为学校综合素质评价内容参评。</w:t>
      </w:r>
    </w:p>
    <w:p>
      <w:pPr>
        <w:spacing w:line="360" w:lineRule="auto"/>
        <w:ind w:firstLine="482" w:firstLineChars="200"/>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十一、缴纳费用：</w:t>
      </w:r>
      <w:r>
        <w:rPr>
          <w:rFonts w:hint="eastAsia" w:asciiTheme="majorEastAsia" w:hAnsiTheme="majorEastAsia" w:eastAsiaTheme="majorEastAsia" w:cstheme="majorEastAsia"/>
          <w:sz w:val="24"/>
        </w:rPr>
        <w:t>参营费用为3680元，含食宿费、专家费、企业参观考察费、服装费等</w:t>
      </w:r>
    </w:p>
    <w:p>
      <w:pPr>
        <w:numPr>
          <w:ilvl w:val="0"/>
          <w:numId w:val="4"/>
        </w:numPr>
        <w:spacing w:line="360" w:lineRule="auto"/>
        <w:ind w:firstLine="482"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报名联系方式</w:t>
      </w:r>
      <w:r>
        <w:rPr>
          <w:rFonts w:hint="eastAsia" w:asciiTheme="majorEastAsia" w:hAnsiTheme="majorEastAsia" w:eastAsiaTheme="majorEastAsia" w:cstheme="majorEastAsia"/>
          <w:sz w:val="24"/>
        </w:rPr>
        <w:t>：</w:t>
      </w:r>
    </w:p>
    <w:p>
      <w:pPr>
        <w:spacing w:line="360" w:lineRule="auto"/>
        <w:ind w:left="420" w:left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电话：  010  61354811  15810469859李老师</w:t>
      </w:r>
    </w:p>
    <w:p>
      <w:pPr>
        <w:spacing w:line="360" w:lineRule="auto"/>
        <w:ind w:firstLine="420" w:firstLineChars="175"/>
        <w:rPr>
          <w:rFonts w:hint="eastAsia" w:asciiTheme="majorEastAsia" w:hAnsiTheme="majorEastAsia" w:eastAsiaTheme="majorEastAsia" w:cstheme="majorEastAsia"/>
          <w:b/>
          <w:bCs/>
          <w:sz w:val="24"/>
          <w:lang w:eastAsia="zh-CN"/>
        </w:rPr>
      </w:pPr>
      <w:r>
        <w:rPr>
          <w:rFonts w:hint="eastAsia" w:asciiTheme="majorEastAsia" w:hAnsiTheme="majorEastAsia" w:eastAsiaTheme="majorEastAsia" w:cstheme="majorEastAsia"/>
          <w:sz w:val="24"/>
        </w:rPr>
        <w:t xml:space="preserve">邮箱：  </w:t>
      </w:r>
      <w:r>
        <w:fldChar w:fldCharType="begin"/>
      </w:r>
      <w:r>
        <w:instrText xml:space="preserve"> HYPERLINK "mailto:nyltlihai@126.com" </w:instrText>
      </w:r>
      <w:r>
        <w:fldChar w:fldCharType="separate"/>
      </w:r>
      <w:r>
        <w:rPr>
          <w:rStyle w:val="9"/>
          <w:rFonts w:hint="eastAsia" w:asciiTheme="majorEastAsia" w:hAnsiTheme="majorEastAsia" w:eastAsiaTheme="majorEastAsia" w:cstheme="majorEastAsia"/>
          <w:sz w:val="24"/>
        </w:rPr>
        <w:t>nyltlihai@126.com</w:t>
      </w:r>
      <w:r>
        <w:rPr>
          <w:rStyle w:val="9"/>
          <w:rFonts w:hint="eastAsia" w:asciiTheme="majorEastAsia" w:hAnsiTheme="majorEastAsia" w:eastAsiaTheme="majorEastAsia" w:cstheme="majorEastAsia"/>
          <w:sz w:val="24"/>
        </w:rPr>
        <w:fldChar w:fldCharType="end"/>
      </w:r>
      <w:r>
        <w:rPr>
          <w:rFonts w:hint="eastAsia" w:asciiTheme="majorEastAsia" w:hAnsiTheme="majorEastAsia" w:eastAsiaTheme="majorEastAsia" w:cstheme="majorEastAsia"/>
          <w:sz w:val="24"/>
        </w:rPr>
        <w:t xml:space="preserve"> </w:t>
      </w:r>
    </w:p>
    <w:p>
      <w:pPr>
        <w:spacing w:line="360" w:lineRule="auto"/>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lang w:eastAsia="zh-CN"/>
        </w:rPr>
        <w:t>注：此项目面向全国诚招项目代理，具体事宜，来电咨询。</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附件1 报名表  </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附件2 中国人生科学学会学生发展指导专业委员会简介</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pPr>
        <w:spacing w:line="360" w:lineRule="auto"/>
        <w:ind w:firstLine="480" w:firstLineChars="20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pPr>
        <w:spacing w:line="360" w:lineRule="auto"/>
        <w:ind w:firstLine="480" w:firstLineChars="200"/>
        <w:jc w:val="righ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中国人生科学学会学生发展指导专业委员会   </w:t>
      </w:r>
    </w:p>
    <w:p>
      <w:pPr>
        <w:wordWrap w:val="0"/>
        <w:spacing w:line="360" w:lineRule="auto"/>
        <w:ind w:firstLine="480" w:firstLineChars="200"/>
        <w:jc w:val="righ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2018年3月13日         </w:t>
      </w:r>
    </w:p>
    <w:p>
      <w:pPr>
        <w:spacing w:line="360" w:lineRule="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2018全国中学生生涯规划与</w:t>
      </w:r>
      <w:r>
        <w:rPr>
          <w:rFonts w:hint="eastAsia" w:asciiTheme="majorEastAsia" w:hAnsiTheme="majorEastAsia" w:eastAsiaTheme="majorEastAsia" w:cstheme="majorEastAsia"/>
          <w:b/>
          <w:bCs/>
          <w:sz w:val="24"/>
          <w:lang w:eastAsia="zh-CN"/>
        </w:rPr>
        <w:t>创新能力训练研学营</w:t>
      </w:r>
      <w:r>
        <w:rPr>
          <w:rFonts w:hint="eastAsia" w:asciiTheme="majorEastAsia" w:hAnsiTheme="majorEastAsia" w:eastAsiaTheme="majorEastAsia" w:cstheme="majorEastAsia"/>
          <w:b/>
          <w:bCs/>
          <w:sz w:val="24"/>
        </w:rPr>
        <w:t xml:space="preserve"> 报名表</w:t>
      </w:r>
    </w:p>
    <w:tbl>
      <w:tblPr>
        <w:tblStyle w:val="10"/>
        <w:tblpPr w:leftFromText="180" w:rightFromText="180" w:vertAnchor="page" w:horzAnchor="page" w:tblpX="961" w:tblpY="2475"/>
        <w:tblW w:w="10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985"/>
        <w:gridCol w:w="1016"/>
        <w:gridCol w:w="1418"/>
        <w:gridCol w:w="1110"/>
        <w:gridCol w:w="1134"/>
        <w:gridCol w:w="24"/>
        <w:gridCol w:w="1110"/>
        <w:gridCol w:w="850"/>
        <w:gridCol w:w="851"/>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429" w:hRule="atLeast"/>
        </w:trPr>
        <w:tc>
          <w:tcPr>
            <w:tcW w:w="6687" w:type="dxa"/>
            <w:gridSpan w:val="6"/>
            <w:shd w:val="clear" w:color="auto" w:fill="FFFFFF" w:themeFill="background1"/>
            <w:vAlign w:val="center"/>
          </w:tcPr>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*参加时间</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u w:val="single"/>
              </w:rPr>
              <w:t xml:space="preserve"> 2018  </w:t>
            </w:r>
            <w:r>
              <w:rPr>
                <w:rFonts w:hint="eastAsia" w:asciiTheme="majorEastAsia" w:hAnsiTheme="majorEastAsia" w:eastAsiaTheme="majorEastAsia" w:cstheme="majorEastAsia"/>
                <w:sz w:val="24"/>
              </w:rPr>
              <w:t>年</w:t>
            </w:r>
            <w:r>
              <w:rPr>
                <w:rFonts w:hint="eastAsia" w:asciiTheme="majorEastAsia" w:hAnsiTheme="majorEastAsia" w:eastAsiaTheme="majorEastAsia" w:cstheme="majorEastAsia"/>
                <w:sz w:val="24"/>
                <w:u w:val="single"/>
              </w:rPr>
              <w:t xml:space="preserve"> 7 </w:t>
            </w:r>
            <w:r>
              <w:rPr>
                <w:rFonts w:hint="eastAsia" w:asciiTheme="majorEastAsia" w:hAnsiTheme="majorEastAsia" w:eastAsiaTheme="majorEastAsia" w:cstheme="majorEastAsia"/>
                <w:sz w:val="24"/>
              </w:rPr>
              <w:t>月</w:t>
            </w:r>
            <w:r>
              <w:rPr>
                <w:rFonts w:hint="eastAsia" w:asciiTheme="majorEastAsia" w:hAnsiTheme="majorEastAsia" w:eastAsiaTheme="majorEastAsia" w:cstheme="majorEastAsia"/>
                <w:sz w:val="24"/>
                <w:u w:val="single"/>
              </w:rPr>
              <w:t xml:space="preserve"> 23 </w:t>
            </w:r>
            <w:r>
              <w:rPr>
                <w:rFonts w:hint="eastAsia" w:asciiTheme="majorEastAsia" w:hAnsiTheme="majorEastAsia" w:eastAsiaTheme="majorEastAsia" w:cstheme="majorEastAsia"/>
                <w:sz w:val="24"/>
              </w:rPr>
              <w:t>日至</w:t>
            </w:r>
            <w:r>
              <w:rPr>
                <w:rFonts w:hint="eastAsia" w:asciiTheme="majorEastAsia" w:hAnsiTheme="majorEastAsia" w:eastAsiaTheme="majorEastAsia" w:cstheme="majorEastAsia"/>
                <w:sz w:val="24"/>
                <w:u w:val="single"/>
              </w:rPr>
              <w:t xml:space="preserve">  7</w:t>
            </w:r>
            <w:r>
              <w:rPr>
                <w:rFonts w:hint="eastAsia" w:asciiTheme="majorEastAsia" w:hAnsiTheme="majorEastAsia" w:eastAsiaTheme="majorEastAsia" w:cstheme="majorEastAsia"/>
                <w:sz w:val="24"/>
              </w:rPr>
              <w:t>月</w:t>
            </w:r>
            <w:r>
              <w:rPr>
                <w:rFonts w:hint="eastAsia" w:asciiTheme="majorEastAsia" w:hAnsiTheme="majorEastAsia" w:eastAsiaTheme="majorEastAsia" w:cstheme="majorEastAsia"/>
                <w:sz w:val="24"/>
                <w:u w:val="single"/>
              </w:rPr>
              <w:t xml:space="preserve"> 28 </w:t>
            </w:r>
            <w:r>
              <w:rPr>
                <w:rFonts w:hint="eastAsia" w:asciiTheme="majorEastAsia" w:hAnsiTheme="majorEastAsia" w:eastAsiaTheme="majorEastAsia" w:cstheme="majorEastAsia"/>
                <w:sz w:val="24"/>
              </w:rPr>
              <w:t xml:space="preserve">日      </w:t>
            </w:r>
          </w:p>
          <w:p>
            <w:pPr>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营    种：</w:t>
            </w:r>
            <w:r>
              <w:rPr>
                <w:rFonts w:hint="eastAsia" w:asciiTheme="majorEastAsia" w:hAnsiTheme="majorEastAsia" w:eastAsiaTheme="majorEastAsia" w:cstheme="majorEastAsia"/>
                <w:sz w:val="24"/>
                <w:u w:val="single"/>
              </w:rPr>
              <w:t xml:space="preserve">  生涯规划营      </w:t>
            </w:r>
            <w:r>
              <w:rPr>
                <w:rFonts w:hint="eastAsia" w:asciiTheme="majorEastAsia" w:hAnsiTheme="majorEastAsia" w:eastAsiaTheme="majorEastAsia" w:cstheme="majorEastAsia"/>
                <w:sz w:val="24"/>
              </w:rPr>
              <w:t xml:space="preserve"> </w:t>
            </w:r>
          </w:p>
        </w:tc>
        <w:tc>
          <w:tcPr>
            <w:tcW w:w="3637" w:type="dxa"/>
            <w:gridSpan w:val="4"/>
            <w:shd w:val="clear" w:color="auto" w:fill="FFFFFF" w:themeFill="background1"/>
            <w:vAlign w:val="center"/>
          </w:tcPr>
          <w:p>
            <w:pPr>
              <w:jc w:val="left"/>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1" w:hRule="atLeast"/>
        </w:trPr>
        <w:tc>
          <w:tcPr>
            <w:tcW w:w="1985" w:type="dxa"/>
            <w:vMerge w:val="restart"/>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营员姓名</w:t>
            </w:r>
          </w:p>
        </w:tc>
        <w:tc>
          <w:tcPr>
            <w:tcW w:w="1016" w:type="dxa"/>
            <w:vMerge w:val="restart"/>
            <w:shd w:val="clear" w:color="auto" w:fill="FFFFFF" w:themeFill="background1"/>
            <w:vAlign w:val="center"/>
          </w:tcPr>
          <w:p>
            <w:pPr>
              <w:jc w:val="left"/>
              <w:rPr>
                <w:rFonts w:asciiTheme="majorEastAsia" w:hAnsiTheme="majorEastAsia" w:eastAsiaTheme="majorEastAsia" w:cstheme="majorEastAsia"/>
                <w:b/>
                <w:sz w:val="24"/>
              </w:rPr>
            </w:pPr>
          </w:p>
        </w:tc>
        <w:tc>
          <w:tcPr>
            <w:tcW w:w="1418" w:type="dxa"/>
            <w:shd w:val="clear" w:color="auto" w:fill="FFFFFF" w:themeFill="background1"/>
            <w:vAlign w:val="center"/>
          </w:tcPr>
          <w:p>
            <w:pP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性 别</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年 龄</w:t>
            </w:r>
          </w:p>
        </w:tc>
        <w:tc>
          <w:tcPr>
            <w:tcW w:w="850" w:type="dxa"/>
            <w:shd w:val="clear" w:color="auto" w:fill="FFFFFF" w:themeFill="background1"/>
            <w:vAlign w:val="center"/>
          </w:tcPr>
          <w:p>
            <w:pPr>
              <w:rPr>
                <w:rFonts w:asciiTheme="majorEastAsia" w:hAnsiTheme="majorEastAsia" w:eastAsiaTheme="majorEastAsia" w:cstheme="majorEastAsia"/>
                <w:b/>
                <w:sz w:val="24"/>
              </w:rPr>
            </w:pPr>
          </w:p>
        </w:tc>
        <w:tc>
          <w:tcPr>
            <w:tcW w:w="851"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民 族</w:t>
            </w:r>
          </w:p>
        </w:tc>
        <w:tc>
          <w:tcPr>
            <w:tcW w:w="826" w:type="dxa"/>
            <w:shd w:val="clear" w:color="auto" w:fill="FFFFFF" w:themeFill="background1"/>
            <w:vAlign w:val="center"/>
          </w:tcPr>
          <w:p>
            <w:pPr>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985" w:type="dxa"/>
            <w:vMerge w:val="continue"/>
            <w:shd w:val="clear" w:color="auto" w:fill="FFFFFF" w:themeFill="background1"/>
            <w:vAlign w:val="center"/>
          </w:tcPr>
          <w:p>
            <w:pPr>
              <w:jc w:val="center"/>
              <w:rPr>
                <w:rFonts w:asciiTheme="majorEastAsia" w:hAnsiTheme="majorEastAsia" w:eastAsiaTheme="majorEastAsia" w:cstheme="majorEastAsia"/>
                <w:sz w:val="24"/>
              </w:rPr>
            </w:pPr>
          </w:p>
        </w:tc>
        <w:tc>
          <w:tcPr>
            <w:tcW w:w="1016" w:type="dxa"/>
            <w:vMerge w:val="continue"/>
            <w:shd w:val="clear" w:color="auto" w:fill="FFFFFF" w:themeFill="background1"/>
            <w:vAlign w:val="center"/>
          </w:tcPr>
          <w:p>
            <w:pPr>
              <w:jc w:val="left"/>
              <w:rPr>
                <w:rFonts w:asciiTheme="majorEastAsia" w:hAnsiTheme="majorEastAsia" w:eastAsiaTheme="majorEastAsia" w:cstheme="majorEastAsia"/>
                <w:b/>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就读学校</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年 级</w:t>
            </w:r>
          </w:p>
        </w:tc>
        <w:tc>
          <w:tcPr>
            <w:tcW w:w="2527" w:type="dxa"/>
            <w:gridSpan w:val="3"/>
            <w:shd w:val="clear" w:color="auto" w:fill="FFFFFF" w:themeFill="background1"/>
            <w:vAlign w:val="center"/>
          </w:tcPr>
          <w:p>
            <w:pPr>
              <w:rPr>
                <w:rFonts w:asciiTheme="majorEastAsia" w:hAnsiTheme="majorEastAsia" w:eastAsiaTheme="majorEastAsia" w:cs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985" w:type="dxa"/>
            <w:vMerge w:val="continue"/>
            <w:shd w:val="clear" w:color="auto" w:fill="FFFFFF" w:themeFill="background1"/>
            <w:vAlign w:val="center"/>
          </w:tcPr>
          <w:p>
            <w:pPr>
              <w:jc w:val="center"/>
              <w:rPr>
                <w:rFonts w:asciiTheme="majorEastAsia" w:hAnsiTheme="majorEastAsia" w:eastAsiaTheme="majorEastAsia" w:cstheme="majorEastAsia"/>
                <w:sz w:val="24"/>
              </w:rPr>
            </w:pPr>
          </w:p>
        </w:tc>
        <w:tc>
          <w:tcPr>
            <w:tcW w:w="1016" w:type="dxa"/>
            <w:vMerge w:val="continue"/>
            <w:shd w:val="clear" w:color="auto" w:fill="FFFFFF" w:themeFill="background1"/>
            <w:vAlign w:val="center"/>
          </w:tcPr>
          <w:p>
            <w:pPr>
              <w:jc w:val="left"/>
              <w:rPr>
                <w:rFonts w:asciiTheme="majorEastAsia" w:hAnsiTheme="majorEastAsia" w:eastAsiaTheme="majorEastAsia" w:cstheme="majorEastAsia"/>
                <w:b/>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身份证号</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生 日</w:t>
            </w:r>
          </w:p>
        </w:tc>
        <w:tc>
          <w:tcPr>
            <w:tcW w:w="2527" w:type="dxa"/>
            <w:gridSpan w:val="3"/>
            <w:shd w:val="clear" w:color="auto" w:fill="FFFFFF" w:themeFill="background1"/>
            <w:vAlign w:val="center"/>
          </w:tcPr>
          <w:p>
            <w:pPr>
              <w:jc w:val="left"/>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985" w:type="dxa"/>
            <w:vMerge w:val="restart"/>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第一联系人</w:t>
            </w:r>
          </w:p>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姓名及关系</w:t>
            </w:r>
          </w:p>
        </w:tc>
        <w:tc>
          <w:tcPr>
            <w:tcW w:w="1016" w:type="dxa"/>
            <w:vMerge w:val="restart"/>
            <w:shd w:val="clear" w:color="auto" w:fill="FFFFFF" w:themeFill="background1"/>
            <w:vAlign w:val="center"/>
          </w:tcPr>
          <w:p>
            <w:pPr>
              <w:jc w:val="left"/>
              <w:rPr>
                <w:rFonts w:asciiTheme="majorEastAsia" w:hAnsiTheme="majorEastAsia" w:eastAsiaTheme="majorEastAsia" w:cstheme="majorEastAsia"/>
                <w:b/>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工作单位</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民 族</w:t>
            </w:r>
          </w:p>
        </w:tc>
        <w:tc>
          <w:tcPr>
            <w:tcW w:w="2527" w:type="dxa"/>
            <w:gridSpan w:val="3"/>
            <w:shd w:val="clear" w:color="auto" w:fill="FFFFFF" w:themeFill="background1"/>
            <w:vAlign w:val="center"/>
          </w:tcPr>
          <w:p>
            <w:pPr>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74" w:hRule="atLeast"/>
        </w:trPr>
        <w:tc>
          <w:tcPr>
            <w:tcW w:w="1985" w:type="dxa"/>
            <w:vMerge w:val="continue"/>
            <w:shd w:val="clear" w:color="auto" w:fill="FFFFFF" w:themeFill="background1"/>
            <w:vAlign w:val="center"/>
          </w:tcPr>
          <w:p>
            <w:pPr>
              <w:jc w:val="center"/>
              <w:rPr>
                <w:rFonts w:asciiTheme="majorEastAsia" w:hAnsiTheme="majorEastAsia" w:eastAsiaTheme="majorEastAsia" w:cstheme="majorEastAsia"/>
                <w:sz w:val="24"/>
              </w:rPr>
            </w:pPr>
          </w:p>
        </w:tc>
        <w:tc>
          <w:tcPr>
            <w:tcW w:w="1016" w:type="dxa"/>
            <w:vMerge w:val="continue"/>
            <w:shd w:val="clear" w:color="auto" w:fill="FFFFFF" w:themeFill="background1"/>
            <w:vAlign w:val="center"/>
          </w:tcPr>
          <w:p>
            <w:pPr>
              <w:jc w:val="left"/>
              <w:rPr>
                <w:rFonts w:asciiTheme="majorEastAsia" w:hAnsiTheme="majorEastAsia" w:eastAsiaTheme="majorEastAsia" w:cstheme="majorEastAsia"/>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身份证号</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fldChar w:fldCharType="begin"/>
            </w:r>
            <w:r>
              <w:rPr>
                <w:rFonts w:hint="eastAsia" w:asciiTheme="majorEastAsia" w:hAnsiTheme="majorEastAsia" w:eastAsiaTheme="majorEastAsia" w:cstheme="majorEastAsia"/>
                <w:b/>
                <w:sz w:val="24"/>
              </w:rPr>
              <w:instrText xml:space="preserve"> MERGEFIELD 身份证号码（购买保险用）2 </w:instrText>
            </w:r>
            <w:r>
              <w:rPr>
                <w:rFonts w:hint="eastAsia" w:asciiTheme="majorEastAsia" w:hAnsiTheme="majorEastAsia" w:eastAsiaTheme="majorEastAsia" w:cstheme="majorEastAsia"/>
                <w:b/>
                <w:sz w:val="24"/>
              </w:rPr>
              <w:fldChar w:fldCharType="end"/>
            </w:r>
          </w:p>
        </w:tc>
        <w:tc>
          <w:tcPr>
            <w:tcW w:w="1134" w:type="dxa"/>
            <w:gridSpan w:val="2"/>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微 信</w:t>
            </w:r>
          </w:p>
        </w:tc>
        <w:tc>
          <w:tcPr>
            <w:tcW w:w="2527" w:type="dxa"/>
            <w:gridSpan w:val="3"/>
            <w:shd w:val="clear" w:color="auto" w:fill="FFFFFF" w:themeFill="background1"/>
            <w:vAlign w:val="center"/>
          </w:tcPr>
          <w:p>
            <w:pPr>
              <w:jc w:val="left"/>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1985" w:type="dxa"/>
            <w:vMerge w:val="continue"/>
            <w:shd w:val="clear" w:color="auto" w:fill="FFFFFF" w:themeFill="background1"/>
            <w:vAlign w:val="center"/>
          </w:tcPr>
          <w:p>
            <w:pPr>
              <w:jc w:val="center"/>
              <w:rPr>
                <w:rFonts w:asciiTheme="majorEastAsia" w:hAnsiTheme="majorEastAsia" w:eastAsiaTheme="majorEastAsia" w:cstheme="majorEastAsia"/>
                <w:sz w:val="24"/>
              </w:rPr>
            </w:pPr>
          </w:p>
        </w:tc>
        <w:tc>
          <w:tcPr>
            <w:tcW w:w="1016" w:type="dxa"/>
            <w:vMerge w:val="continue"/>
            <w:shd w:val="clear" w:color="auto" w:fill="FFFFFF" w:themeFill="background1"/>
            <w:vAlign w:val="center"/>
          </w:tcPr>
          <w:p>
            <w:pPr>
              <w:jc w:val="left"/>
              <w:rPr>
                <w:rFonts w:asciiTheme="majorEastAsia" w:hAnsiTheme="majorEastAsia" w:eastAsiaTheme="majorEastAsia" w:cstheme="majorEastAsia"/>
                <w:b/>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联系电话</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QQ号码</w:t>
            </w:r>
          </w:p>
        </w:tc>
        <w:tc>
          <w:tcPr>
            <w:tcW w:w="2527" w:type="dxa"/>
            <w:gridSpan w:val="3"/>
            <w:shd w:val="clear" w:color="auto" w:fill="FFFFFF" w:themeFill="background1"/>
            <w:vAlign w:val="center"/>
          </w:tcPr>
          <w:p>
            <w:pPr>
              <w:jc w:val="left"/>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*第二联系人</w:t>
            </w:r>
          </w:p>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姓名及关系</w:t>
            </w:r>
          </w:p>
        </w:tc>
        <w:tc>
          <w:tcPr>
            <w:tcW w:w="1016" w:type="dxa"/>
            <w:vMerge w:val="restart"/>
            <w:shd w:val="clear" w:color="auto" w:fill="FFFFFF" w:themeFill="background1"/>
            <w:vAlign w:val="center"/>
          </w:tcPr>
          <w:p>
            <w:pPr>
              <w:jc w:val="left"/>
              <w:rPr>
                <w:rFonts w:asciiTheme="majorEastAsia" w:hAnsiTheme="majorEastAsia" w:eastAsiaTheme="majorEastAsia" w:cstheme="majorEastAsia"/>
                <w:b/>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联系电话</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QQ号码</w:t>
            </w:r>
          </w:p>
        </w:tc>
        <w:tc>
          <w:tcPr>
            <w:tcW w:w="2527" w:type="dxa"/>
            <w:gridSpan w:val="3"/>
            <w:shd w:val="clear" w:color="auto" w:fill="FFFFFF" w:themeFill="background1"/>
            <w:vAlign w:val="center"/>
          </w:tcPr>
          <w:p>
            <w:pPr>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fldChar w:fldCharType="begin"/>
            </w:r>
            <w:r>
              <w:rPr>
                <w:rFonts w:hint="eastAsia" w:asciiTheme="majorEastAsia" w:hAnsiTheme="majorEastAsia" w:eastAsiaTheme="majorEastAsia" w:cstheme="majorEastAsia"/>
                <w:b/>
                <w:sz w:val="24"/>
              </w:rPr>
              <w:instrText xml:space="preserve"> MERGEFIELD QQ号1 </w:instrText>
            </w:r>
            <w:r>
              <w:rPr>
                <w:rFonts w:hint="eastAsia" w:asciiTheme="majorEastAsia" w:hAnsiTheme="majorEastAsia" w:eastAsiaTheme="majorEastAsia" w:cstheme="majorEastAsia"/>
                <w:b/>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shd w:val="clear" w:color="auto" w:fill="FFFFFF" w:themeFill="background1"/>
            <w:vAlign w:val="center"/>
          </w:tcPr>
          <w:p>
            <w:pPr>
              <w:jc w:val="center"/>
              <w:rPr>
                <w:rFonts w:asciiTheme="majorEastAsia" w:hAnsiTheme="majorEastAsia" w:eastAsiaTheme="majorEastAsia" w:cstheme="majorEastAsia"/>
                <w:sz w:val="24"/>
              </w:rPr>
            </w:pPr>
          </w:p>
        </w:tc>
        <w:tc>
          <w:tcPr>
            <w:tcW w:w="1016" w:type="dxa"/>
            <w:vMerge w:val="continue"/>
            <w:shd w:val="clear" w:color="auto" w:fill="FFFFFF" w:themeFill="background1"/>
            <w:vAlign w:val="center"/>
          </w:tcPr>
          <w:p>
            <w:pPr>
              <w:jc w:val="center"/>
              <w:rPr>
                <w:rFonts w:asciiTheme="majorEastAsia" w:hAnsiTheme="majorEastAsia" w:eastAsiaTheme="majorEastAsia" w:cstheme="majorEastAsia"/>
                <w:b/>
                <w:sz w:val="24"/>
              </w:rPr>
            </w:pPr>
          </w:p>
        </w:tc>
        <w:tc>
          <w:tcPr>
            <w:tcW w:w="1418" w:type="dxa"/>
            <w:shd w:val="clear" w:color="auto" w:fill="FFFFFF" w:themeFill="background1"/>
            <w:vAlign w:val="center"/>
          </w:tcPr>
          <w:p>
            <w:pPr>
              <w:jc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sz w:val="24"/>
              </w:rPr>
              <w:t>身份证号</w:t>
            </w:r>
          </w:p>
        </w:tc>
        <w:tc>
          <w:tcPr>
            <w:tcW w:w="2244" w:type="dxa"/>
            <w:gridSpan w:val="2"/>
            <w:shd w:val="clear" w:color="auto" w:fill="FFFFFF" w:themeFill="background1"/>
            <w:vAlign w:val="center"/>
          </w:tcPr>
          <w:p>
            <w:pPr>
              <w:jc w:val="left"/>
              <w:rPr>
                <w:rFonts w:asciiTheme="majorEastAsia" w:hAnsiTheme="majorEastAsia" w:eastAsiaTheme="majorEastAsia" w:cstheme="majorEastAsia"/>
                <w:b/>
                <w:sz w:val="24"/>
              </w:rPr>
            </w:pPr>
          </w:p>
        </w:tc>
        <w:tc>
          <w:tcPr>
            <w:tcW w:w="1134" w:type="dxa"/>
            <w:gridSpan w:val="2"/>
            <w:shd w:val="clear" w:color="auto" w:fill="FFFFFF" w:themeFill="background1"/>
            <w:vAlign w:val="center"/>
          </w:tcPr>
          <w:p>
            <w:pPr>
              <w:jc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sz w:val="24"/>
              </w:rPr>
              <w:t>微信</w:t>
            </w:r>
          </w:p>
        </w:tc>
        <w:tc>
          <w:tcPr>
            <w:tcW w:w="2527" w:type="dxa"/>
            <w:gridSpan w:val="3"/>
            <w:shd w:val="clear" w:color="auto" w:fill="FFFFFF" w:themeFill="background1"/>
            <w:vAlign w:val="center"/>
          </w:tcPr>
          <w:p>
            <w:pPr>
              <w:jc w:val="left"/>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985"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收件地址</w:t>
            </w:r>
          </w:p>
        </w:tc>
        <w:tc>
          <w:tcPr>
            <w:tcW w:w="8339" w:type="dxa"/>
            <w:gridSpan w:val="9"/>
            <w:shd w:val="clear" w:color="auto" w:fill="FFFFFF" w:themeFill="background1"/>
            <w:vAlign w:val="center"/>
          </w:tcPr>
          <w:p>
            <w:pPr>
              <w:jc w:val="center"/>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1985"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曾经参营情况</w:t>
            </w:r>
          </w:p>
        </w:tc>
        <w:tc>
          <w:tcPr>
            <w:tcW w:w="2434" w:type="dxa"/>
            <w:gridSpan w:val="2"/>
            <w:shd w:val="clear" w:color="auto" w:fill="FFFFFF" w:themeFill="background1"/>
            <w:vAlign w:val="center"/>
          </w:tcPr>
          <w:p>
            <w:pPr>
              <w:jc w:val="center"/>
              <w:rPr>
                <w:rFonts w:asciiTheme="majorEastAsia" w:hAnsiTheme="majorEastAsia" w:eastAsiaTheme="majorEastAsia" w:cstheme="majorEastAsia"/>
                <w:b/>
                <w:sz w:val="24"/>
              </w:rPr>
            </w:pPr>
          </w:p>
        </w:tc>
        <w:tc>
          <w:tcPr>
            <w:tcW w:w="1110" w:type="dxa"/>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营员</w:t>
            </w:r>
          </w:p>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电话</w:t>
            </w:r>
          </w:p>
        </w:tc>
        <w:tc>
          <w:tcPr>
            <w:tcW w:w="4795" w:type="dxa"/>
            <w:gridSpan w:val="6"/>
            <w:shd w:val="clear" w:color="auto" w:fill="FFFFFF" w:themeFill="background1"/>
            <w:vAlign w:val="center"/>
          </w:tcPr>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fldChar w:fldCharType="begin"/>
            </w:r>
            <w:r>
              <w:rPr>
                <w:rFonts w:hint="eastAsia" w:asciiTheme="majorEastAsia" w:hAnsiTheme="majorEastAsia" w:eastAsiaTheme="majorEastAsia" w:cstheme="majorEastAsia"/>
                <w:sz w:val="24"/>
              </w:rPr>
              <w:instrText xml:space="preserve"> MERGEFIELD 参加过哪一期的学习 </w:instrText>
            </w:r>
            <w:r>
              <w:rPr>
                <w:rFonts w:hint="eastAsia" w:asciiTheme="majorEastAsia" w:hAnsiTheme="majorEastAsia" w:eastAsiaTheme="majorEastAsia" w:cstheme="majorEastAsia"/>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985" w:type="dxa"/>
            <w:shd w:val="clear" w:color="auto" w:fill="FFFFFF" w:themeFill="background1"/>
            <w:vAlign w:val="center"/>
          </w:tcPr>
          <w:p>
            <w:pPr>
              <w:jc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营服尺寸</w:t>
            </w:r>
          </w:p>
        </w:tc>
        <w:tc>
          <w:tcPr>
            <w:tcW w:w="8339" w:type="dxa"/>
            <w:gridSpan w:val="9"/>
            <w:shd w:val="clear" w:color="auto" w:fill="FFFFFF" w:themeFill="background1"/>
            <w:vAlign w:val="center"/>
          </w:tcPr>
          <w:p>
            <w:pPr>
              <w:jc w:val="cente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S(150以下)  M(150-160)  L(160-170)  XL(170-180)  XXL(180-190)  XXXL(190以上)</w:t>
            </w:r>
          </w:p>
          <w:p>
            <w:pPr>
              <w:jc w:val="left"/>
              <w:rPr>
                <w:rFonts w:asciiTheme="majorEastAsia" w:hAnsiTheme="majorEastAsia" w:eastAsiaTheme="majorEastAsia" w:cstheme="majorEastAsia"/>
                <w:sz w:val="24"/>
              </w:rPr>
            </w:pP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 xml:space="preserve">身高：______   </w:t>
            </w:r>
            <w:r>
              <w:rPr>
                <w:rFonts w:hint="eastAsia" w:asciiTheme="majorEastAsia" w:hAnsiTheme="majorEastAsia" w:eastAsiaTheme="majorEastAsia" w:cstheme="majorEastAsia"/>
                <w:color w:val="FF0000"/>
                <w:sz w:val="24"/>
              </w:rPr>
              <w:t>*</w:t>
            </w:r>
            <w:r>
              <w:rPr>
                <w:rFonts w:hint="eastAsia" w:asciiTheme="majorEastAsia" w:hAnsiTheme="majorEastAsia" w:eastAsiaTheme="majorEastAsia" w:cstheme="majorEastAsia"/>
                <w:sz w:val="24"/>
              </w:rPr>
              <w:t xml:space="preserve">体重：_______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0324" w:type="dxa"/>
            <w:gridSpan w:val="10"/>
            <w:shd w:val="clear" w:color="auto" w:fill="FFFFFF" w:themeFill="background1"/>
            <w:vAlign w:val="center"/>
          </w:tcPr>
          <w:p>
            <w:pPr>
              <w:adjustRightInd w:val="0"/>
              <w:snapToGrid w:val="0"/>
              <w:rPr>
                <w:rFonts w:asciiTheme="majorEastAsia" w:hAnsiTheme="majorEastAsia" w:eastAsiaTheme="majorEastAsia" w:cstheme="majorEastAsia"/>
                <w:b/>
                <w:sz w:val="24"/>
              </w:rPr>
            </w:pPr>
            <w:r>
              <w:rPr>
                <w:rFonts w:hint="eastAsia" w:asciiTheme="majorEastAsia" w:hAnsiTheme="majorEastAsia" w:eastAsiaTheme="majorEastAsia" w:cstheme="majorEastAsia"/>
                <w:b/>
                <w:sz w:val="24"/>
              </w:rPr>
              <w:t xml:space="preserve">                                         家长小调查</w:t>
            </w:r>
          </w:p>
          <w:p>
            <w:pPr>
              <w:adjustRightInd w:val="0"/>
              <w:snapToGrid w:val="0"/>
              <w:jc w:val="center"/>
              <w:rPr>
                <w:rFonts w:asciiTheme="majorEastAsia" w:hAnsiTheme="majorEastAsia" w:eastAsiaTheme="majorEastAsia" w:cstheme="majorEastAsia"/>
                <w:b/>
                <w:sz w:val="24"/>
              </w:rPr>
            </w:pPr>
            <w:r>
              <w:rPr>
                <w:rFonts w:hint="eastAsia" w:asciiTheme="majorEastAsia" w:hAnsiTheme="majorEastAsia" w:eastAsiaTheme="majorEastAsia" w:cstheme="majorEastAsia"/>
                <w:color w:val="C00000"/>
                <w:sz w:val="24"/>
              </w:rPr>
              <w:t>（为了让我们更充分了解孩子，更有针对性的帮助孩子成长，请您认真填写此表）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0324" w:type="dxa"/>
            <w:gridSpan w:val="10"/>
            <w:shd w:val="clear" w:color="auto" w:fill="FFFFFF" w:themeFill="background1"/>
            <w:vAlign w:val="center"/>
          </w:tcPr>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请您介绍你孩子的性格特点</w:t>
            </w:r>
          </w:p>
          <w:p>
            <w:pPr>
              <w:adjustRightInd w:val="0"/>
              <w:snapToGrid w:val="0"/>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5" w:hRule="atLeast"/>
        </w:trPr>
        <w:tc>
          <w:tcPr>
            <w:tcW w:w="10324" w:type="dxa"/>
            <w:gridSpan w:val="10"/>
            <w:shd w:val="clear" w:color="auto" w:fill="FFFFFF" w:themeFill="background1"/>
            <w:vAlign w:val="center"/>
          </w:tcPr>
          <w:p>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您希望我们的老师对你的孩子有哪些特别关注</w:t>
            </w:r>
          </w:p>
          <w:p>
            <w:pPr>
              <w:adjustRightInd w:val="0"/>
              <w:snapToGrid w:val="0"/>
              <w:jc w:val="center"/>
              <w:rPr>
                <w:rFonts w:asciiTheme="majorEastAsia" w:hAnsiTheme="majorEastAsia" w:eastAsiaTheme="majorEastAsia" w:cstheme="majorEastAsia"/>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9" w:hRule="atLeast"/>
        </w:trPr>
        <w:tc>
          <w:tcPr>
            <w:tcW w:w="10324" w:type="dxa"/>
            <w:gridSpan w:val="10"/>
            <w:shd w:val="clear" w:color="auto" w:fill="FFFFFF" w:themeFill="background1"/>
            <w:vAlign w:val="center"/>
          </w:tcPr>
          <w:p>
            <w:pPr>
              <w:widowControl/>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备注：</w:t>
            </w:r>
          </w:p>
          <w:p>
            <w:pPr>
              <w:widowControl/>
              <w:rPr>
                <w:rFonts w:asciiTheme="majorEastAsia" w:hAnsiTheme="majorEastAsia" w:eastAsiaTheme="majorEastAsia" w:cstheme="majorEastAsia"/>
                <w:kern w:val="0"/>
                <w:sz w:val="24"/>
              </w:rPr>
            </w:pPr>
          </w:p>
          <w:p>
            <w:pPr>
              <w:adjustRightInd w:val="0"/>
              <w:snapToGrid w:val="0"/>
              <w:jc w:val="left"/>
              <w:rPr>
                <w:rFonts w:asciiTheme="majorEastAsia" w:hAnsiTheme="majorEastAsia" w:eastAsiaTheme="majorEastAsia" w:cstheme="majorEastAsia"/>
                <w:b/>
                <w:sz w:val="24"/>
              </w:rPr>
            </w:pPr>
            <w:r>
              <w:rPr>
                <w:rFonts w:hint="eastAsia" w:asciiTheme="majorEastAsia" w:hAnsiTheme="majorEastAsia" w:eastAsiaTheme="majorEastAsia" w:cstheme="majorEastAsia"/>
                <w:color w:val="C00000"/>
                <w:kern w:val="0"/>
                <w:sz w:val="24"/>
              </w:rPr>
              <w:t>（ 如有特殊情况请说明。如未作说明，出现任何情况家长需自己承担（必填））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0324" w:type="dxa"/>
            <w:gridSpan w:val="10"/>
            <w:shd w:val="clear" w:color="auto" w:fill="FFFFFF" w:themeFill="background1"/>
            <w:vAlign w:val="center"/>
          </w:tcPr>
          <w:p>
            <w:pPr>
              <w:widowControl/>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b/>
                <w:kern w:val="0"/>
                <w:sz w:val="24"/>
              </w:rPr>
              <w:t>银行汇款</w:t>
            </w:r>
            <w:r>
              <w:rPr>
                <w:rFonts w:hint="eastAsia" w:asciiTheme="majorEastAsia" w:hAnsiTheme="majorEastAsia" w:eastAsiaTheme="majorEastAsia" w:cstheme="majorEastAsia"/>
                <w:kern w:val="0"/>
                <w:sz w:val="24"/>
              </w:rPr>
              <w:t>： 开户银行：中国工商银行北京房山支行良乡分理处</w:t>
            </w:r>
          </w:p>
          <w:p>
            <w:pPr>
              <w:widowControl/>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 xml:space="preserve">           帐户名称：北京成长智慧教育科技有限公司  </w:t>
            </w:r>
          </w:p>
          <w:p>
            <w:pPr>
              <w:widowControl/>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 xml:space="preserve">           帐    号：0200 3169 0920 0012 149 </w:t>
            </w:r>
          </w:p>
          <w:p>
            <w:pPr>
              <w:widowControl/>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汇款备注：所报名营种+孩子姓名，例如：生涯规划营-明明</w:t>
            </w:r>
          </w:p>
          <w:p>
            <w:pPr>
              <w:widowControl/>
              <w:jc w:val="left"/>
              <w:rPr>
                <w:rFonts w:asciiTheme="majorEastAsia" w:hAnsiTheme="majorEastAsia" w:eastAsiaTheme="majorEastAsia" w:cstheme="majorEastAsia"/>
                <w:kern w:val="0"/>
                <w:sz w:val="24"/>
              </w:rPr>
            </w:pPr>
            <w:r>
              <w:rPr>
                <w:rFonts w:hint="eastAsia" w:asciiTheme="majorEastAsia" w:hAnsiTheme="majorEastAsia" w:eastAsiaTheme="majorEastAsia" w:cstheme="majorEastAsia"/>
                <w:color w:val="C00000"/>
                <w:sz w:val="24"/>
              </w:rPr>
              <w:t>（交款后请及时联系老师查款，柜台小票和网上转账截图为依据）</w:t>
            </w:r>
          </w:p>
        </w:tc>
      </w:tr>
    </w:tbl>
    <w:p>
      <w:pPr>
        <w:spacing w:line="360" w:lineRule="auto"/>
        <w:ind w:firstLine="480" w:firstLineChars="200"/>
        <w:rPr>
          <w:rFonts w:asciiTheme="majorEastAsia" w:hAnsiTheme="majorEastAsia" w:eastAsiaTheme="majorEastAsia" w:cstheme="majorEastAsia"/>
          <w:sz w:val="24"/>
        </w:rPr>
      </w:pPr>
    </w:p>
    <w:p>
      <w:pPr>
        <w:spacing w:line="360" w:lineRule="auto"/>
        <w:ind w:firstLine="480" w:firstLineChars="200"/>
        <w:rPr>
          <w:rFonts w:asciiTheme="majorEastAsia" w:hAnsiTheme="majorEastAsia" w:eastAsiaTheme="majorEastAsia" w:cstheme="majorEastAsia"/>
          <w:sz w:val="24"/>
        </w:rPr>
      </w:pPr>
    </w:p>
    <w:p>
      <w:pPr>
        <w:spacing w:line="360" w:lineRule="auto"/>
        <w:ind w:firstLine="482" w:firstLineChars="200"/>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br w:type="page"/>
      </w:r>
    </w:p>
    <w:p>
      <w:pPr>
        <w:spacing w:line="360" w:lineRule="auto"/>
        <w:jc w:val="center"/>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中国人生科学学会学生发展指导专业委员会简介</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中国人生科学学会是中华人民共和国教育部业务主管、民政部注册的国家一级学术社团。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中国人生科学是我国社会科学领域里的一个崭新学科。它的学术功能是：研究人生现象，揭示人生规律，探索人生理论，指导人生实践。帮助每个人正确认识和设计人生，有效地创造和奉献人生，挖掘人生潜能，造就人生辉煌。人生科学是融合古今中外优秀的伦理道德和哲学思想形成的人生理论和做人科学，是古今人们常做常新，与时俱进，永无终结的一门显学。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中国人生科学学会正在探讨市场经济条件下，人的生存与发展的种种问题。同时开展人生教育、人生咨询、人生健康、人生创业等与此相关的服务活动。并和有关部门联合举办各种大型有益于文明进步的社会活动。为创建美好人生和和谐社会而不懈努力。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中国人生科学学会学生发展指导专业委员会（以下简称学生发展专委员）是中国人生科学学会的直属机构。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学生发展专委会的宗旨是为了帮助学生在学生阶段开始思考“为什么发展”、“发展成什么样的人”、“如何发展”、“如何管理发展过程”等问题，帮助学生掌握有效发展的方法，从小养成良好的发展意识与习惯，树立远大理想、信念和价值观，科学规划自己的人生。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学生发展专委会的主要职责是以学生不同时期的发展需求为主题，面向学前教育、义务教育、高中阶段教育、高等教育、成人教育等学生成长的各个阶段，针对教育规划、教育技术、教育模式、教育设备、多元课程、学生核心素养、学生综合素质评价、走班制教学、生涯规划教育、创客教育、财商素养教育等各个方面进行理论研究和课题实践。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学生发展专委会将面向全国召开与学生发展指导相关的各种论坛、研讨会、培训、课题研究、成果推介等多样化的活动。包括，生涯规划论坛和研讨会、走班制教学智慧管理研讨会、创客教育研讨会、财商素养教育论坛、自主学习论坛和研讨会、学校生涯规划师岗位能力培训、高考志愿填报咨询师岗位能力培训、自主学习指导师岗位能力培训、学生发展课题研究、学生发展指导研究成果推介会等活动。 </w:t>
      </w:r>
    </w:p>
    <w:p>
      <w:pPr>
        <w:spacing w:line="360" w:lineRule="auto"/>
        <w:ind w:firstLine="440" w:firstLineChars="200"/>
        <w:jc w:val="left"/>
        <w:rPr>
          <w:rFonts w:asciiTheme="majorEastAsia" w:hAnsiTheme="majorEastAsia" w:eastAsiaTheme="majorEastAsia" w:cstheme="majorEastAsia"/>
          <w:sz w:val="22"/>
          <w:szCs w:val="22"/>
        </w:rPr>
      </w:pPr>
      <w:r>
        <w:rPr>
          <w:rFonts w:hint="eastAsia" w:asciiTheme="majorEastAsia" w:hAnsiTheme="majorEastAsia" w:eastAsiaTheme="majorEastAsia" w:cstheme="majorEastAsia"/>
          <w:sz w:val="22"/>
          <w:szCs w:val="22"/>
        </w:rPr>
        <w:t xml:space="preserve">学生发展专委会下设秘书处、科研中心、培训中心、课程中心、企业合作中心、国际交流中心等业务部门，力求专业性和协同作用。 </w:t>
      </w:r>
    </w:p>
    <w:p>
      <w:pPr>
        <w:spacing w:line="360" w:lineRule="auto"/>
        <w:ind w:firstLine="440" w:firstLineChars="200"/>
        <w:jc w:val="left"/>
        <w:rPr>
          <w:rFonts w:asciiTheme="majorEastAsia" w:hAnsiTheme="majorEastAsia" w:eastAsiaTheme="majorEastAsia" w:cstheme="majorEastAsia"/>
          <w:sz w:val="24"/>
        </w:rPr>
      </w:pPr>
      <w:r>
        <w:rPr>
          <w:rFonts w:hint="eastAsia" w:asciiTheme="majorEastAsia" w:hAnsiTheme="majorEastAsia" w:eastAsiaTheme="majorEastAsia" w:cstheme="majorEastAsia"/>
          <w:sz w:val="22"/>
          <w:szCs w:val="22"/>
        </w:rPr>
        <w:t xml:space="preserve">学生发展专委会真诚期待与全国各大中小学、教育院所、企业、机构等合作，为我国的学生发展教育做出有价值的贡献！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Calibri Light">
    <w:altName w:val="Calibri"/>
    <w:panose1 w:val="020F0302020204030204"/>
    <w:charset w:val="00"/>
    <w:family w:val="swiss"/>
    <w:pitch w:val="default"/>
    <w:sig w:usb0="00000000" w:usb1="00000000" w:usb2="00000009" w:usb3="00000000" w:csb0="200001FF" w:csb1="00000000"/>
  </w:font>
  <w:font w:name="Helvetica Neue">
    <w:altName w:val="Courier New"/>
    <w:panose1 w:val="00000000000000000000"/>
    <w:charset w:val="00"/>
    <w:family w:val="auto"/>
    <w:pitch w:val="default"/>
    <w:sig w:usb0="00000000" w:usb1="00000000" w:usb2="00000000" w:usb3="00000000" w:csb0="20000111" w:csb1="41000000"/>
  </w:font>
  <w:font w:name="华文细黑">
    <w:altName w:val="微软雅黑"/>
    <w:panose1 w:val="02010600040101010101"/>
    <w:charset w:val="86"/>
    <w:family w:val="auto"/>
    <w:pitch w:val="default"/>
    <w:sig w:usb0="00000000" w:usb1="00000000" w:usb2="00000000" w:usb3="00000000" w:csb0="0004009F" w:csb1="DFD70000"/>
  </w:font>
  <w:font w:name="宋休">
    <w:altName w:val="宋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微软雅黑">
    <w:panose1 w:val="020B0503020204020204"/>
    <w:charset w:val="86"/>
    <w:family w:val="auto"/>
    <w:pitch w:val="default"/>
    <w:sig w:usb0="80000287" w:usb1="2A0F3C52" w:usb2="00000016" w:usb3="00000000" w:csb0="0004001F" w:csb1="00000000"/>
  </w:font>
  <w:font w:name="Courier New">
    <w:panose1 w:val="02070309020205020404"/>
    <w:charset w:val="00"/>
    <w:family w:val="auto"/>
    <w:pitch w:val="default"/>
    <w:sig w:usb0="00007A87" w:usb1="80000000" w:usb2="00000008" w:usb3="00000000" w:csb0="400001FF" w:csb1="FFFF0000"/>
  </w:font>
  <w:font w:name="华文细黑">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23FAE"/>
    <w:multiLevelType w:val="singleLevel"/>
    <w:tmpl w:val="5AA23FAE"/>
    <w:lvl w:ilvl="0" w:tentative="0">
      <w:start w:val="6"/>
      <w:numFmt w:val="chineseCounting"/>
      <w:suff w:val="nothing"/>
      <w:lvlText w:val="%1、"/>
      <w:lvlJc w:val="left"/>
    </w:lvl>
  </w:abstractNum>
  <w:abstractNum w:abstractNumId="1">
    <w:nsid w:val="5AA240FA"/>
    <w:multiLevelType w:val="singleLevel"/>
    <w:tmpl w:val="5AA240FA"/>
    <w:lvl w:ilvl="0" w:tentative="0">
      <w:start w:val="3"/>
      <w:numFmt w:val="decimal"/>
      <w:suff w:val="nothing"/>
      <w:lvlText w:val="%1、"/>
      <w:lvlJc w:val="left"/>
    </w:lvl>
  </w:abstractNum>
  <w:abstractNum w:abstractNumId="2">
    <w:nsid w:val="5AA25845"/>
    <w:multiLevelType w:val="singleLevel"/>
    <w:tmpl w:val="5AA25845"/>
    <w:lvl w:ilvl="0" w:tentative="0">
      <w:start w:val="2"/>
      <w:numFmt w:val="decimal"/>
      <w:suff w:val="nothing"/>
      <w:lvlText w:val="%1、"/>
      <w:lvlJc w:val="left"/>
    </w:lvl>
  </w:abstractNum>
  <w:abstractNum w:abstractNumId="3">
    <w:nsid w:val="5AA8D6E1"/>
    <w:multiLevelType w:val="singleLevel"/>
    <w:tmpl w:val="5AA8D6E1"/>
    <w:lvl w:ilvl="0" w:tentative="0">
      <w:start w:val="12"/>
      <w:numFmt w:val="chineseCounting"/>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478"/>
    <w:rsid w:val="002F10EF"/>
    <w:rsid w:val="006A3D4C"/>
    <w:rsid w:val="00A558B4"/>
    <w:rsid w:val="00A672DE"/>
    <w:rsid w:val="00C27478"/>
    <w:rsid w:val="00C45BAD"/>
    <w:rsid w:val="00DC0FA4"/>
    <w:rsid w:val="01805497"/>
    <w:rsid w:val="02AC598C"/>
    <w:rsid w:val="02BF53DE"/>
    <w:rsid w:val="043C45DD"/>
    <w:rsid w:val="06613BD8"/>
    <w:rsid w:val="0A3A6703"/>
    <w:rsid w:val="10082EE3"/>
    <w:rsid w:val="10D60955"/>
    <w:rsid w:val="10DF18A2"/>
    <w:rsid w:val="115567B2"/>
    <w:rsid w:val="14592BF4"/>
    <w:rsid w:val="14D254FA"/>
    <w:rsid w:val="15372B42"/>
    <w:rsid w:val="187D10D8"/>
    <w:rsid w:val="1C175BB7"/>
    <w:rsid w:val="1D51781F"/>
    <w:rsid w:val="220D2C06"/>
    <w:rsid w:val="22E6288F"/>
    <w:rsid w:val="23626927"/>
    <w:rsid w:val="24BF775E"/>
    <w:rsid w:val="28156AEC"/>
    <w:rsid w:val="29102750"/>
    <w:rsid w:val="2A6B000F"/>
    <w:rsid w:val="2BBD1BDD"/>
    <w:rsid w:val="2C637E9D"/>
    <w:rsid w:val="2C887DC1"/>
    <w:rsid w:val="2CC75D93"/>
    <w:rsid w:val="2D3802F3"/>
    <w:rsid w:val="2DC3595C"/>
    <w:rsid w:val="2EF57205"/>
    <w:rsid w:val="310B0BC1"/>
    <w:rsid w:val="32E274B4"/>
    <w:rsid w:val="338A3E47"/>
    <w:rsid w:val="364E77BC"/>
    <w:rsid w:val="3758772F"/>
    <w:rsid w:val="37875C59"/>
    <w:rsid w:val="38DE620A"/>
    <w:rsid w:val="3D522DF4"/>
    <w:rsid w:val="3DC021FC"/>
    <w:rsid w:val="3E247068"/>
    <w:rsid w:val="44054CE4"/>
    <w:rsid w:val="464E3618"/>
    <w:rsid w:val="482E25AE"/>
    <w:rsid w:val="495D44B8"/>
    <w:rsid w:val="4A933C16"/>
    <w:rsid w:val="55587707"/>
    <w:rsid w:val="55982DD9"/>
    <w:rsid w:val="567B0413"/>
    <w:rsid w:val="56B51910"/>
    <w:rsid w:val="57776E09"/>
    <w:rsid w:val="57E158A5"/>
    <w:rsid w:val="586B6B73"/>
    <w:rsid w:val="58CD1051"/>
    <w:rsid w:val="5A611ACD"/>
    <w:rsid w:val="5AC3556E"/>
    <w:rsid w:val="5C047FA6"/>
    <w:rsid w:val="6053723A"/>
    <w:rsid w:val="61795D5C"/>
    <w:rsid w:val="61C24426"/>
    <w:rsid w:val="626C2DE7"/>
    <w:rsid w:val="64EF7E53"/>
    <w:rsid w:val="68C301E1"/>
    <w:rsid w:val="6953496C"/>
    <w:rsid w:val="6B39774C"/>
    <w:rsid w:val="6F977747"/>
    <w:rsid w:val="73E3734B"/>
    <w:rsid w:val="75CF3DE6"/>
    <w:rsid w:val="7887712F"/>
    <w:rsid w:val="79527A01"/>
    <w:rsid w:val="7B475B14"/>
    <w:rsid w:val="7C7C1997"/>
    <w:rsid w:val="7DD70D25"/>
    <w:rsid w:val="7F636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7">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table" w:styleId="11">
    <w:name w:val="Table Grid"/>
    <w:basedOn w:val="10"/>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2">
    <w:name w:val="列出段落1"/>
    <w:basedOn w:val="1"/>
    <w:qFormat/>
    <w:uiPriority w:val="99"/>
    <w:pPr>
      <w:ind w:firstLine="420" w:firstLineChars="200"/>
    </w:pPr>
  </w:style>
  <w:style w:type="character" w:customStyle="1" w:styleId="13">
    <w:name w:val="页眉 Char"/>
    <w:basedOn w:val="7"/>
    <w:link w:val="5"/>
    <w:uiPriority w:val="0"/>
    <w:rPr>
      <w:rFonts w:asciiTheme="minorHAnsi" w:hAnsiTheme="minorHAnsi" w:eastAsiaTheme="minorEastAsia" w:cstheme="minorBidi"/>
      <w:kern w:val="2"/>
      <w:sz w:val="18"/>
      <w:szCs w:val="18"/>
    </w:rPr>
  </w:style>
  <w:style w:type="character" w:customStyle="1" w:styleId="14">
    <w:name w:val="页脚 Char"/>
    <w:basedOn w:val="7"/>
    <w:link w:val="4"/>
    <w:uiPriority w:val="0"/>
    <w:rPr>
      <w:rFonts w:asciiTheme="minorHAnsi" w:hAnsiTheme="minorHAnsi" w:eastAsiaTheme="minorEastAsia" w:cstheme="minorBidi"/>
      <w:kern w:val="2"/>
      <w:sz w:val="18"/>
      <w:szCs w:val="18"/>
    </w:rPr>
  </w:style>
  <w:style w:type="character" w:customStyle="1" w:styleId="15">
    <w:name w:val="批注框文本 Char"/>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939</Words>
  <Characters>5356</Characters>
  <Lines>44</Lines>
  <Paragraphs>12</Paragraphs>
  <ScaleCrop>false</ScaleCrop>
  <LinksUpToDate>false</LinksUpToDate>
  <CharactersWithSpaces>6283</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2018-03-14T08:14:00Z</dcterms:created>
  <dc:creator>Administrator</dc:creator>
  <cp:lastModifiedBy>智慧成长教育</cp:lastModifiedBy>
  <dcterms:modified xsi:type="dcterms:W3CDTF">2018-03-19T02:39:21Z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