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autoSpaceDN w:val="0"/>
        <w:jc w:val="distribute"/>
        <w:rPr>
          <w:rFonts w:hint="eastAsia" w:ascii="楷体" w:hAnsi="楷体" w:eastAsia="楷体" w:cs="楷体"/>
          <w:b/>
          <w:bCs/>
          <w:color w:val="FF0000"/>
          <w:sz w:val="56"/>
          <w:szCs w:val="56"/>
          <w:lang w:eastAsia="zh-CN"/>
        </w:rPr>
      </w:pPr>
      <w:r>
        <w:rPr>
          <w:rFonts w:hint="eastAsia" w:ascii="楷体" w:hAnsi="楷体" w:eastAsia="楷体" w:cs="楷体"/>
          <w:b/>
          <w:bCs/>
          <w:color w:val="FF0000"/>
          <w:sz w:val="56"/>
          <w:szCs w:val="56"/>
          <w:lang w:eastAsia="zh-CN"/>
        </w:rPr>
        <w:t>中国人生科学学会</w:t>
      </w:r>
    </w:p>
    <w:p>
      <w:pPr>
        <w:autoSpaceDN w:val="0"/>
        <w:jc w:val="distribute"/>
        <w:rPr>
          <w:rFonts w:hint="eastAsia" w:ascii="楷体" w:hAnsi="楷体" w:eastAsia="楷体" w:cs="楷体"/>
          <w:b/>
          <w:bCs/>
          <w:color w:val="FF0000"/>
          <w:sz w:val="56"/>
          <w:szCs w:val="56"/>
          <w:lang w:eastAsia="zh-CN"/>
        </w:rPr>
      </w:pPr>
      <w:r>
        <w:rPr>
          <w:rFonts w:hint="eastAsia" w:ascii="楷体" w:hAnsi="楷体" w:eastAsia="楷体" w:cs="楷体"/>
          <w:b/>
          <w:bCs/>
          <w:color w:val="FF0000"/>
          <w:sz w:val="56"/>
          <w:szCs w:val="56"/>
          <w:lang w:eastAsia="zh-CN"/>
        </w:rPr>
        <w:t>学生发展指导专委会</w:t>
      </w:r>
    </w:p>
    <w:p>
      <w:pPr>
        <w:autoSpaceDN w:val="0"/>
        <w:jc w:val="distribute"/>
        <w:rPr>
          <w:rFonts w:hint="eastAsia" w:ascii="楷体" w:hAnsi="楷体" w:eastAsia="楷体" w:cs="楷体"/>
          <w:b/>
          <w:bCs/>
          <w:color w:val="FF0000"/>
          <w:sz w:val="56"/>
          <w:szCs w:val="56"/>
          <w:lang w:eastAsia="zh-CN"/>
        </w:rPr>
      </w:pPr>
      <w:r>
        <w:rPr>
          <w:rFonts w:hint="eastAsia" w:ascii="楷体" w:hAnsi="楷体" w:eastAsia="楷体" w:cs="楷体"/>
          <w:b/>
          <w:bCs/>
          <w:color w:val="FF0000"/>
          <w:sz w:val="56"/>
          <w:szCs w:val="56"/>
          <w:lang w:eastAsia="zh-CN"/>
        </w:rPr>
        <w:t>浙江</w:t>
      </w:r>
      <w:r>
        <w:rPr>
          <w:rFonts w:hint="eastAsia" w:ascii="楷体" w:hAnsi="楷体" w:eastAsia="楷体" w:cs="楷体"/>
          <w:b/>
          <w:bCs/>
          <w:color w:val="FF0000"/>
          <w:sz w:val="56"/>
          <w:szCs w:val="56"/>
          <w:lang w:val="en-US" w:eastAsia="zh-CN"/>
        </w:rPr>
        <w:t>学</w:t>
      </w:r>
      <w:r>
        <w:rPr>
          <w:rFonts w:hint="eastAsia" w:ascii="楷体" w:hAnsi="楷体" w:eastAsia="楷体" w:cs="楷体"/>
          <w:b/>
          <w:bCs/>
          <w:color w:val="FF0000"/>
          <w:sz w:val="56"/>
          <w:szCs w:val="56"/>
          <w:lang w:eastAsia="zh-CN"/>
        </w:rPr>
        <w:t>生</w:t>
      </w:r>
      <w:r>
        <w:rPr>
          <w:rFonts w:hint="eastAsia" w:ascii="楷体" w:hAnsi="楷体" w:eastAsia="楷体" w:cs="楷体"/>
          <w:b/>
          <w:bCs/>
          <w:color w:val="FF0000"/>
          <w:sz w:val="56"/>
          <w:szCs w:val="56"/>
          <w:lang w:val="en-US" w:eastAsia="zh-CN"/>
        </w:rPr>
        <w:t>生</w:t>
      </w:r>
      <w:r>
        <w:rPr>
          <w:rFonts w:hint="eastAsia" w:ascii="楷体" w:hAnsi="楷体" w:eastAsia="楷体" w:cs="楷体"/>
          <w:b/>
          <w:bCs/>
          <w:color w:val="FF0000"/>
          <w:sz w:val="56"/>
          <w:szCs w:val="56"/>
          <w:lang w:eastAsia="zh-CN"/>
        </w:rPr>
        <w:t>涯教育</w:t>
      </w:r>
      <w:r>
        <w:rPr>
          <w:rFonts w:hint="eastAsia" w:ascii="楷体" w:hAnsi="楷体" w:eastAsia="楷体" w:cs="楷体"/>
          <w:b/>
          <w:bCs/>
          <w:color w:val="FF0000"/>
          <w:sz w:val="56"/>
          <w:szCs w:val="56"/>
          <w:lang w:val="en-US" w:eastAsia="zh-CN"/>
        </w:rPr>
        <w:t>发展</w:t>
      </w:r>
      <w:r>
        <w:rPr>
          <w:rFonts w:hint="eastAsia" w:ascii="楷体" w:hAnsi="楷体" w:eastAsia="楷体" w:cs="楷体"/>
          <w:b/>
          <w:bCs/>
          <w:color w:val="FF0000"/>
          <w:sz w:val="56"/>
          <w:szCs w:val="56"/>
          <w:lang w:eastAsia="zh-CN"/>
        </w:rPr>
        <w:t>联盟</w:t>
      </w:r>
    </w:p>
    <w:p>
      <w:pPr>
        <w:autoSpaceDN w:val="0"/>
        <w:jc w:val="distribute"/>
        <w:rPr>
          <w:rFonts w:hint="eastAsia" w:ascii="仿宋" w:hAnsi="仿宋" w:eastAsia="仿宋" w:cs="仿宋"/>
          <w:color w:val="000000"/>
          <w:sz w:val="28"/>
          <w:szCs w:val="28"/>
          <w:lang w:val="en-US" w:eastAsia="zh-CN"/>
        </w:rPr>
      </w:pPr>
      <w:r>
        <w:rPr>
          <w:rFonts w:ascii="宋体" w:hAnsi="宋体"/>
          <w:b/>
          <w:bCs/>
          <w:color w:val="FF0000"/>
          <w:sz w:val="72"/>
          <w:szCs w:val="72"/>
        </w:rPr>
        <mc:AlternateContent>
          <mc:Choice Requires="wps">
            <w:drawing>
              <wp:anchor distT="0" distB="0" distL="114300" distR="114300" simplePos="0" relativeHeight="251661312" behindDoc="0" locked="0" layoutInCell="1" allowOverlap="1">
                <wp:simplePos x="0" y="0"/>
                <wp:positionH relativeFrom="column">
                  <wp:posOffset>-433070</wp:posOffset>
                </wp:positionH>
                <wp:positionV relativeFrom="paragraph">
                  <wp:posOffset>466725</wp:posOffset>
                </wp:positionV>
                <wp:extent cx="6067425" cy="8890"/>
                <wp:effectExtent l="0" t="0" r="0" b="0"/>
                <wp:wrapNone/>
                <wp:docPr id="2" name="直接连接符 2"/>
                <wp:cNvGraphicFramePr/>
                <a:graphic xmlns:a="http://schemas.openxmlformats.org/drawingml/2006/main">
                  <a:graphicData uri="http://schemas.microsoft.com/office/word/2010/wordprocessingShape">
                    <wps:wsp>
                      <wps:cNvCnPr/>
                      <wps:spPr>
                        <a:xfrm flipV="1">
                          <a:off x="0" y="0"/>
                          <a:ext cx="6067425" cy="8890"/>
                        </a:xfrm>
                        <a:prstGeom prst="line">
                          <a:avLst/>
                        </a:prstGeom>
                        <a:ln w="254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4.1pt;margin-top:36.75pt;height:0.7pt;width:477.75pt;z-index:251661312;mso-width-relative:page;mso-height-relative:page;" filled="f" stroked="t" coordsize="21600,21600" o:gfxdata="UEsDBAoAAAAAAIdO4kAAAAAAAAAAAAAAAAAEAAAAZHJzL1BLAwQUAAAACACHTuJACRVtWtcAAAAJ&#10;AQAADwAAAGRycy9kb3ducmV2LnhtbE2PTU/DMAyG70j8h8hI3LZ06z5K13QHEAcuSCtw9xqvqdY4&#10;VZO2498TTnC0/ej18xbHm+3ERINvHStYLRMQxLXTLTcKPj9eFxkIH5A1do5JwTd5OJb3dwXm2s18&#10;oqkKjYgh7HNUYELocyl9bciiX7qeON4ubrAY4jg0Ug84x3DbyXWS7KTFluMHgz09G6qv1WgVfHE6&#10;urftyyaZqlOP6eV9ng0p9fiwSg4gAt3CHwy/+lEdyuh0diNrLzoFi122jqiCfboFEYEs26cgznGx&#10;eQJZFvJ/g/IHUEsDBBQAAAAIAIdO4kBP3tVM6gEAAKQDAAAOAAAAZHJzL2Uyb0RvYy54bWytU0uO&#10;EzEQ3SNxB8t70p1oJoRWOrOYEDYIIgGzr/jTbck/2Z50cgkugMQOVizZcxuGY0zZHcJvgxC9KJVd&#10;1a9evSovrw5Gk70IUTnb0umkpkRY5riyXUvfvN48WlASE1gO2lnR0qOI9Gr18MFy8I2Yud5pLgJB&#10;EBubwbe0T8k3VRVZLwzEifPCYlC6YCDhMXQVDzAgutHVrK7n1eAC98ExESPerscgXRV8KQVLL6WM&#10;IhHdUuSWig3F7rKtVktougC+V+xEA/6BhQFlsegZag0JyG1Qf0AZxYKLTqYJc6ZyUiomSg/YzbT+&#10;rZtXPXhRekFxoj/LFP8fLHux3waieEtnlFgwOKK7d5+/vv3w7ct7tHefPpJZFmnwscHca7sNp1P0&#10;25A7PshgiNTK3+D8iwbYFTkUiY9nicUhEYaX83r++GJ2SQnD2GLxpEygGlEymg8xPRPOkOy0VCub&#10;BYAG9s9jwsqY+j0lX2tLBqR+eVHjcBngAkkNCV3jsaVou/JzdFrxjdI6/xJDt7vWgewBV2KzqfHL&#10;DSLwL2m5yhpiP+aV0LgsvQD+1HKSjh7FsrjVNHMwglOiBT6C7CEgNAmU/ptMLK0tMsgaj6pmb+f4&#10;EUdz64PqepRiWljmCK5C4Xta27xrP58L0o/Htb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RVt&#10;WtcAAAAJAQAADwAAAAAAAAABACAAAAAiAAAAZHJzL2Rvd25yZXYueG1sUEsBAhQAFAAAAAgAh07i&#10;QE/e1UzqAQAApAMAAA4AAAAAAAAAAQAgAAAAJgEAAGRycy9lMm9Eb2MueG1sUEsFBgAAAAAGAAYA&#10;WQEAAIIFAAAAAA==&#10;">
                <v:fill on="f" focussize="0,0"/>
                <v:stroke weight="2pt" color="#FF0000" joinstyle="round"/>
                <v:imagedata o:title=""/>
                <o:lock v:ext="edit" aspectratio="f"/>
              </v:line>
            </w:pict>
          </mc:Fallback>
        </mc:AlternateContent>
      </w:r>
      <w:r>
        <w:rPr>
          <w:rFonts w:ascii="宋体" w:hAnsi="宋体"/>
          <w:b/>
          <w:bCs/>
          <w:color w:val="FF0000"/>
          <w:sz w:val="72"/>
          <w:szCs w:val="72"/>
        </w:rPr>
        <mc:AlternateContent>
          <mc:Choice Requires="wps">
            <w:drawing>
              <wp:anchor distT="0" distB="0" distL="114300" distR="114300" simplePos="0" relativeHeight="251662336" behindDoc="0" locked="0" layoutInCell="1" allowOverlap="1">
                <wp:simplePos x="0" y="0"/>
                <wp:positionH relativeFrom="column">
                  <wp:posOffset>-441325</wp:posOffset>
                </wp:positionH>
                <wp:positionV relativeFrom="paragraph">
                  <wp:posOffset>453390</wp:posOffset>
                </wp:positionV>
                <wp:extent cx="6067425" cy="8890"/>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6067425" cy="8890"/>
                        </a:xfrm>
                        <a:prstGeom prst="line">
                          <a:avLst/>
                        </a:prstGeom>
                        <a:ln w="254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4.75pt;margin-top:35.7pt;height:0.7pt;width:477.75pt;z-index:251662336;mso-width-relative:page;mso-height-relative:page;" filled="f" stroked="t" coordsize="21600,21600" o:gfxdata="UEsDBAoAAAAAAIdO4kAAAAAAAAAAAAAAAAAEAAAAZHJzL1BLAwQUAAAACACHTuJA0qUigdYAAAAJ&#10;AQAADwAAAGRycy9kb3ducmV2LnhtbE2PTU/DMAyG70j8h8hI3Lak+yilNN0BxIEL0jq4Z43XVjRO&#10;1aTt+PeYExxtP3r9vMXh6nox4xg6TxqStQKBVHvbUaPh4/S6ykCEaMia3hNq+MYAh/L2pjC59Qsd&#10;ca5iIziEQm40tDEOuZShbtGZsPYDEt8ufnQm8jg20o5m4XDXy41SqXSmI/7QmgGfW6y/qslp+KTt&#10;5N/2Lzs1V8fBbC/vy9Ki1vd3iXoCEfEa/2D41Wd1KNnp7CeyQfQaVunjnlEND8kOBANZlnK5My82&#10;GciykP8blD9QSwMEFAAAAAgAh07iQP+FEXDpAQAApAMAAA4AAABkcnMvZTJvRG9jLnhtbK1TS44T&#10;MRDdI3EHy3vSnWgmhFY6s5gQNggiAbOv+NNtyT/ZnnRyCS6AxA5WLNlzG4ZjTNkdwm+DEL0o2VXl&#10;V/VeVS+vDkaTvQhROdvS6aSmRFjmuLJdS9+83jxaUBITWA7aWdHSo4j0avXwwXLwjZi53mkuAkEQ&#10;G5vBt7RPyTdVFVkvDMSJ88JiULpgIOE1dBUPMCC60dWsrufV4AL3wTERI3rXY5CuCr6UgqWXUkaR&#10;iG4p9paKDcXusq1WS2i6AL5X7NQG/EMXBpTFomeoNSQgt0H9AWUUCy46mSbMmcpJqZgoHJDNtP6N&#10;zasevChcUJzozzLF/wfLXuy3gSiOs6PEgsER3b37/PXth29f3qO9+/SRTLNIg48N5l7bbTjdot+G&#10;zPgggyFSK3+TMbIHWZFDkfh4llgcEmHonNfzxxezS0oYxhaLJ2UC1YiS3/oQ0zPhDMmHlmplswDQ&#10;wP55TFgZU7+nZLe2ZGjp7PKixuEywAWSGhIejUdK0XblcXRa8Y3SOj+Jodtd60D2gCux2dT4ZYII&#10;/EtarrKG2I95JTQuSy+AP7WcpKNHsSxuNc09GMEp0QJ/gnxCQGgSKP03mVhaW+wgazyqmk87x484&#10;mlsfVNejFGUMJQdXofR7Wtu8az/fC9KPn2t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KlIoHW&#10;AAAACQEAAA8AAAAAAAAAAQAgAAAAIgAAAGRycy9kb3ducmV2LnhtbFBLAQIUABQAAAAIAIdO4kD/&#10;hRFw6QEAAKQDAAAOAAAAAAAAAAEAIAAAACUBAABkcnMvZTJvRG9jLnhtbFBLBQYAAAAABgAGAFkB&#10;AACABQAAAAA=&#10;">
                <v:fill on="f" focussize="0,0"/>
                <v:stroke weight="2pt" color="#FF0000" joinstyle="round"/>
                <v:imagedata o:title=""/>
                <o:lock v:ext="edit" aspectratio="f"/>
              </v:line>
            </w:pict>
          </mc:Fallback>
        </mc:AlternateContent>
      </w:r>
      <w:r>
        <w:rPr>
          <w:rFonts w:hint="eastAsia" w:ascii="楷体" w:hAnsi="楷体" w:eastAsia="楷体" w:cs="楷体"/>
          <w:b/>
          <w:bCs/>
          <w:color w:val="FF0000"/>
          <w:sz w:val="56"/>
          <w:szCs w:val="56"/>
          <w:lang w:eastAsia="zh-CN"/>
        </w:rPr>
        <w:t>中国学校生涯规划教育网</w:t>
      </w:r>
    </w:p>
    <w:p>
      <w:pPr>
        <w:autoSpaceDN w:val="0"/>
        <w:ind w:firstLine="560" w:firstLineChars="200"/>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学专委第48号文件</w:t>
      </w:r>
    </w:p>
    <w:p>
      <w:pPr>
        <w:autoSpaceDN w:val="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关于开展</w:t>
      </w:r>
      <w:r>
        <w:rPr>
          <w:rFonts w:hint="eastAsia" w:ascii="仿宋_GB2312" w:hAnsi="仿宋_GB2312" w:eastAsia="仿宋_GB2312" w:cs="仿宋_GB2312"/>
          <w:b/>
          <w:bCs/>
          <w:sz w:val="32"/>
          <w:szCs w:val="32"/>
        </w:rPr>
        <w:t>“首届全国中学生涯规划教育学术年会</w:t>
      </w:r>
      <w:r>
        <w:rPr>
          <w:rFonts w:hint="eastAsia" w:ascii="仿宋_GB2312" w:hAnsi="仿宋_GB2312" w:eastAsia="仿宋_GB2312" w:cs="仿宋_GB2312"/>
          <w:b/>
          <w:bCs/>
          <w:sz w:val="32"/>
          <w:szCs w:val="32"/>
          <w:lang w:eastAsia="zh-CN"/>
        </w:rPr>
        <w:t>”的通知</w:t>
      </w:r>
    </w:p>
    <w:p>
      <w:pPr>
        <w:autoSpaceDN w:val="0"/>
        <w:rPr>
          <w:rFonts w:hint="eastAsia" w:ascii="仿宋_GB2312" w:hAnsi="仿宋_GB2312" w:eastAsia="仿宋_GB2312" w:cs="仿宋_GB2312"/>
          <w:b/>
          <w:bCs/>
          <w:sz w:val="32"/>
          <w:szCs w:val="32"/>
          <w:lang w:eastAsia="zh-CN"/>
        </w:rPr>
      </w:pPr>
    </w:p>
    <w:p>
      <w:pPr>
        <w:autoSpaceDN w:val="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全国各教育局、高中、初中学校</w:t>
      </w:r>
      <w:r>
        <w:rPr>
          <w:rFonts w:hint="eastAsia" w:ascii="仿宋_GB2312" w:hAnsi="仿宋_GB2312" w:eastAsia="仿宋_GB2312" w:cs="仿宋_GB2312"/>
          <w:b/>
          <w:bCs/>
          <w:sz w:val="24"/>
          <w:szCs w:val="24"/>
          <w:lang w:eastAsia="zh-CN"/>
        </w:rPr>
        <w:t>、生涯规划企事业科研机构</w:t>
      </w:r>
      <w:r>
        <w:rPr>
          <w:rFonts w:hint="eastAsia" w:ascii="仿宋_GB2312" w:hAnsi="仿宋_GB2312" w:eastAsia="仿宋_GB2312" w:cs="仿宋_GB2312"/>
          <w:b/>
          <w:bCs/>
          <w:sz w:val="24"/>
          <w:szCs w:val="24"/>
        </w:rPr>
        <w:t>：</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全面推进我国各级各类学校生涯教育的深入发展，搭建生涯教育学术交流平台，传播生涯教育理论与实践的优秀成果，贯彻落实“国务院办公厅关于新时代推进普通高中育人方式改革的指导意见”：各地要制定学生发展指导意见，指导学校建立学生发展指导制度，加强指导教师培训。普通高中学校要明确指导机构，建立专兼结合的指导教师队伍，通过学科教学渗透、开设指导课程、举办专题讲座、开展职业体验等对学生进行指导的相关文件。中国人生科学学会</w:t>
      </w:r>
      <w:r>
        <w:rPr>
          <w:rFonts w:hint="eastAsia" w:ascii="仿宋_GB2312" w:hAnsi="仿宋_GB2312" w:eastAsia="仿宋_GB2312" w:cs="仿宋_GB2312"/>
          <w:sz w:val="24"/>
          <w:szCs w:val="24"/>
          <w:lang w:eastAsia="zh-CN"/>
        </w:rPr>
        <w:t>学生发展指导专业委员会、</w:t>
      </w:r>
      <w:r>
        <w:rPr>
          <w:rFonts w:hint="eastAsia" w:ascii="仿宋_GB2312" w:hAnsi="仿宋_GB2312" w:eastAsia="仿宋_GB2312" w:cs="仿宋_GB2312"/>
          <w:sz w:val="24"/>
          <w:szCs w:val="24"/>
        </w:rPr>
        <w:t>浙江</w:t>
      </w:r>
      <w:r>
        <w:rPr>
          <w:rFonts w:hint="eastAsia" w:ascii="仿宋_GB2312" w:hAnsi="仿宋_GB2312" w:eastAsia="仿宋_GB2312" w:cs="仿宋_GB2312"/>
          <w:sz w:val="24"/>
          <w:szCs w:val="24"/>
          <w:lang w:val="en-US" w:eastAsia="zh-CN"/>
        </w:rPr>
        <w:t>学生</w:t>
      </w:r>
      <w:r>
        <w:rPr>
          <w:rFonts w:hint="eastAsia" w:ascii="仿宋_GB2312" w:hAnsi="仿宋_GB2312" w:eastAsia="仿宋_GB2312" w:cs="仿宋_GB2312"/>
          <w:sz w:val="24"/>
          <w:szCs w:val="24"/>
        </w:rPr>
        <w:t>生涯教育</w:t>
      </w:r>
      <w:r>
        <w:rPr>
          <w:rFonts w:hint="eastAsia" w:ascii="仿宋_GB2312" w:hAnsi="仿宋_GB2312" w:eastAsia="仿宋_GB2312" w:cs="仿宋_GB2312"/>
          <w:sz w:val="24"/>
          <w:szCs w:val="24"/>
          <w:lang w:val="en-US" w:eastAsia="zh-CN"/>
        </w:rPr>
        <w:t>发展</w:t>
      </w:r>
      <w:r>
        <w:rPr>
          <w:rFonts w:hint="eastAsia" w:ascii="仿宋_GB2312" w:hAnsi="仿宋_GB2312" w:eastAsia="仿宋_GB2312" w:cs="仿宋_GB2312"/>
          <w:sz w:val="24"/>
          <w:szCs w:val="24"/>
        </w:rPr>
        <w:t>联盟将于2019年12月</w:t>
      </w:r>
      <w:r>
        <w:rPr>
          <w:rFonts w:hint="eastAsia" w:ascii="仿宋_GB2312" w:hAnsi="仿宋_GB2312" w:eastAsia="仿宋_GB2312" w:cs="仿宋_GB2312"/>
          <w:sz w:val="24"/>
          <w:szCs w:val="24"/>
          <w:lang w:val="en-US" w:eastAsia="zh-CN"/>
        </w:rPr>
        <w:t>7-9</w:t>
      </w:r>
      <w:r>
        <w:rPr>
          <w:rFonts w:hint="eastAsia" w:ascii="仿宋_GB2312" w:hAnsi="仿宋_GB2312" w:eastAsia="仿宋_GB2312" w:cs="仿宋_GB2312"/>
          <w:sz w:val="24"/>
          <w:szCs w:val="24"/>
        </w:rPr>
        <w:t>日在杭州召开“首届全国中学生涯规划教育学术年会”。此次会议的目的是加强我国中学生涯规划教育的实效性，开展优秀成果推广和交流，总结、推广历年来学校生涯教育管理经验，加强区域之间、学校之间的交流，会议旨在为学校生涯教育工作提供经验和借鉴服务。</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会议期间，将观摩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浙江省第二届高中生生涯规划大赛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总决赛</w:t>
      </w:r>
      <w:r>
        <w:rPr>
          <w:rFonts w:hint="eastAsia" w:ascii="仿宋_GB2312" w:hAnsi="仿宋_GB2312" w:eastAsia="仿宋_GB2312" w:cs="仿宋_GB2312"/>
          <w:sz w:val="24"/>
          <w:szCs w:val="24"/>
          <w:lang w:eastAsia="zh-CN"/>
        </w:rPr>
        <w:t>（详见大赛介绍）</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会议期间，组委会还将免费组织开展全国学校生涯规划教育工作先进单位、先进个人的</w:t>
      </w:r>
      <w:r>
        <w:rPr>
          <w:rFonts w:hint="eastAsia" w:ascii="仿宋_GB2312" w:hAnsi="仿宋_GB2312" w:eastAsia="仿宋_GB2312" w:cs="仿宋_GB2312"/>
          <w:sz w:val="24"/>
          <w:szCs w:val="24"/>
          <w:lang w:eastAsia="zh-CN"/>
        </w:rPr>
        <w:t>表彰</w:t>
      </w:r>
      <w:r>
        <w:rPr>
          <w:rFonts w:hint="eastAsia" w:ascii="仿宋_GB2312" w:hAnsi="仿宋_GB2312" w:eastAsia="仿宋_GB2312" w:cs="仿宋_GB2312"/>
          <w:sz w:val="24"/>
          <w:szCs w:val="24"/>
        </w:rPr>
        <w:t>活动，旨在宣传、推广生涯规划教育优秀人才，表彰先进、树立典型。</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会议期间，将走进</w:t>
      </w:r>
      <w:r>
        <w:rPr>
          <w:rFonts w:hint="eastAsia"/>
          <w:shd w:val="clear" w:color="auto" w:fill="F5F5F5"/>
        </w:rPr>
        <w:t>国家教育信息化试点学校</w:t>
      </w:r>
      <w:r>
        <w:rPr>
          <w:rFonts w:hint="eastAsia"/>
          <w:shd w:val="clear" w:color="auto" w:fill="F5F5F5"/>
          <w:lang w:eastAsia="zh-CN"/>
        </w:rPr>
        <w:t>——</w:t>
      </w:r>
      <w:r>
        <w:rPr>
          <w:rFonts w:hint="eastAsia" w:ascii="仿宋_GB2312" w:hAnsi="仿宋_GB2312" w:eastAsia="仿宋_GB2312" w:cs="仿宋_GB2312"/>
          <w:sz w:val="24"/>
          <w:szCs w:val="24"/>
          <w:lang w:eastAsia="zh-CN"/>
        </w:rPr>
        <w:t>杭州市源清中学参观考察（生涯教育、走班制教学、校园文化、特色课程、生涯社团等）。</w:t>
      </w:r>
      <w:r>
        <w:rPr>
          <w:rFonts w:hint="eastAsia" w:ascii="仿宋_GB2312" w:hAnsi="仿宋_GB2312" w:eastAsia="仿宋_GB2312" w:cs="仿宋_GB2312"/>
          <w:sz w:val="24"/>
          <w:szCs w:val="24"/>
        </w:rPr>
        <w:t>具体事宜如下：</w:t>
      </w:r>
    </w:p>
    <w:p>
      <w:pPr>
        <w:spacing w:line="240" w:lineRule="auto"/>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一、大</w:t>
      </w:r>
      <w:r>
        <w:rPr>
          <w:rFonts w:hint="eastAsia" w:ascii="仿宋_GB2312" w:hAnsi="仿宋_GB2312" w:eastAsia="仿宋_GB2312" w:cs="仿宋_GB2312"/>
          <w:b/>
          <w:bCs/>
          <w:sz w:val="24"/>
          <w:szCs w:val="24"/>
          <w:lang w:val="en-US" w:eastAsia="zh-CN"/>
        </w:rPr>
        <w:t>会</w:t>
      </w:r>
      <w:r>
        <w:rPr>
          <w:rFonts w:hint="eastAsia" w:ascii="仿宋_GB2312" w:hAnsi="仿宋_GB2312" w:eastAsia="仿宋_GB2312" w:cs="仿宋_GB2312"/>
          <w:b/>
          <w:bCs/>
          <w:sz w:val="24"/>
          <w:szCs w:val="24"/>
        </w:rPr>
        <w:t>组织</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主办：中国人生科学学会学生发展指导专业委员会</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w:t>
      </w:r>
      <w:r>
        <w:rPr>
          <w:rFonts w:hint="eastAsia" w:ascii="仿宋_GB2312" w:hAnsi="仿宋_GB2312" w:eastAsia="仿宋_GB2312" w:cs="仿宋_GB2312"/>
          <w:sz w:val="24"/>
          <w:szCs w:val="24"/>
          <w:lang w:eastAsia="zh-CN"/>
        </w:rPr>
        <w:t>办：</w:t>
      </w:r>
      <w:r>
        <w:rPr>
          <w:rFonts w:hint="eastAsia" w:ascii="仿宋_GB2312" w:hAnsi="仿宋_GB2312" w:eastAsia="仿宋_GB2312" w:cs="仿宋_GB2312"/>
          <w:sz w:val="24"/>
          <w:szCs w:val="24"/>
        </w:rPr>
        <w:t>浙江学生生涯教育发展联盟</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杭州市源清</w:t>
      </w:r>
      <w:r>
        <w:rPr>
          <w:rFonts w:hint="eastAsia" w:ascii="仿宋_GB2312" w:hAnsi="仿宋_GB2312" w:eastAsia="仿宋_GB2312" w:cs="仿宋_GB2312"/>
          <w:sz w:val="24"/>
          <w:szCs w:val="24"/>
        </w:rPr>
        <w:t>中学</w:t>
      </w:r>
    </w:p>
    <w:p>
      <w:pPr>
        <w:spacing w:line="240" w:lineRule="auto"/>
        <w:ind w:firstLine="480" w:firstLineChars="200"/>
        <w:jc w:val="left"/>
        <w:rPr>
          <w:rFonts w:hint="default" w:ascii="仿宋_GB2312" w:hAnsi="仿宋_GB2312" w:eastAsia="仿宋_GB2312" w:cs="仿宋_GB2312"/>
          <w:sz w:val="24"/>
          <w:szCs w:val="24"/>
          <w:lang w:val="en-US"/>
        </w:rPr>
      </w:pPr>
      <w:r>
        <w:rPr>
          <w:rFonts w:hint="eastAsia" w:ascii="仿宋_GB2312" w:hAnsi="仿宋_GB2312" w:eastAsia="仿宋_GB2312" w:cs="仿宋_GB2312"/>
          <w:sz w:val="24"/>
          <w:szCs w:val="24"/>
          <w:lang w:eastAsia="zh-CN"/>
        </w:rPr>
        <w:t>协</w:t>
      </w:r>
      <w:r>
        <w:rPr>
          <w:rFonts w:hint="eastAsia" w:ascii="仿宋_GB2312" w:hAnsi="仿宋_GB2312" w:eastAsia="仿宋_GB2312" w:cs="仿宋_GB2312"/>
          <w:sz w:val="24"/>
          <w:szCs w:val="24"/>
        </w:rPr>
        <w:t>办：</w:t>
      </w:r>
      <w:r>
        <w:rPr>
          <w:rFonts w:hint="eastAsia" w:ascii="仿宋_GB2312" w:hAnsi="仿宋_GB2312" w:eastAsia="仿宋_GB2312" w:cs="仿宋_GB2312"/>
          <w:sz w:val="24"/>
          <w:szCs w:val="24"/>
          <w:lang w:eastAsia="zh-CN"/>
        </w:rPr>
        <w:t>选考在线</w:t>
      </w:r>
      <w:r>
        <w:rPr>
          <w:rFonts w:hint="eastAsia" w:ascii="仿宋_GB2312" w:hAnsi="仿宋_GB2312" w:eastAsia="仿宋_GB2312" w:cs="仿宋_GB2312"/>
          <w:sz w:val="24"/>
          <w:szCs w:val="24"/>
          <w:lang w:val="en-US" w:eastAsia="zh-CN"/>
        </w:rPr>
        <w:t xml:space="preserve">   势生涯教育</w:t>
      </w:r>
    </w:p>
    <w:p>
      <w:pPr>
        <w:spacing w:line="240" w:lineRule="auto"/>
        <w:ind w:firstLine="480" w:firstLineChars="200"/>
        <w:jc w:val="left"/>
        <w:rPr>
          <w:rFonts w:hint="eastAsia" w:ascii="仿宋_GB2312" w:hAnsi="仿宋_GB2312" w:eastAsia="仿宋_GB2312" w:cs="仿宋_GB2312"/>
          <w:sz w:val="24"/>
          <w:szCs w:val="24"/>
        </w:rPr>
      </w:pPr>
    </w:p>
    <w:p>
      <w:pPr>
        <w:spacing w:line="240" w:lineRule="auto"/>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二、会议</w:t>
      </w:r>
      <w:r>
        <w:rPr>
          <w:rFonts w:hint="eastAsia" w:ascii="仿宋_GB2312" w:hAnsi="仿宋_GB2312" w:eastAsia="仿宋_GB2312" w:cs="仿宋_GB2312"/>
          <w:b/>
          <w:bCs/>
          <w:sz w:val="24"/>
          <w:szCs w:val="24"/>
          <w:lang w:val="en-US" w:eastAsia="zh-CN"/>
        </w:rPr>
        <w:t>主题</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1.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浙江省第二届高中生生涯规划大赛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总决赛观摩</w:t>
      </w:r>
    </w:p>
    <w:p>
      <w:pPr>
        <w:spacing w:line="240" w:lineRule="auto"/>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 xml:space="preserve">2. </w:t>
      </w:r>
      <w:r>
        <w:rPr>
          <w:rFonts w:hint="eastAsia" w:ascii="仿宋_GB2312" w:hAnsi="仿宋_GB2312" w:eastAsia="仿宋_GB2312" w:cs="仿宋_GB2312"/>
          <w:sz w:val="24"/>
          <w:szCs w:val="24"/>
        </w:rPr>
        <w:t>生涯规划教育学术交流、成果展示与先进表彰</w:t>
      </w:r>
      <w:r>
        <w:rPr>
          <w:rFonts w:hint="eastAsia" w:ascii="仿宋_GB2312" w:hAnsi="仿宋_GB2312" w:eastAsia="仿宋_GB2312" w:cs="仿宋_GB2312"/>
          <w:sz w:val="24"/>
          <w:szCs w:val="24"/>
          <w:lang w:eastAsia="zh-CN"/>
        </w:rPr>
        <w:t>（来电索要申请表）</w:t>
      </w:r>
    </w:p>
    <w:p>
      <w:pPr>
        <w:spacing w:line="240" w:lineRule="auto"/>
        <w:ind w:firstLine="480" w:firstLineChars="200"/>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3、参观考察浙江省</w:t>
      </w:r>
      <w:r>
        <w:rPr>
          <w:rFonts w:hint="eastAsia" w:ascii="仿宋_GB2312" w:hAnsi="仿宋_GB2312" w:eastAsia="仿宋_GB2312" w:cs="仿宋_GB2312"/>
          <w:sz w:val="24"/>
          <w:szCs w:val="24"/>
          <w:lang w:eastAsia="zh-CN"/>
        </w:rPr>
        <w:t>杭州市源清中学（生涯教育、走班制教学、校园文化、特色课程、生涯社团等）</w:t>
      </w:r>
    </w:p>
    <w:p>
      <w:pPr>
        <w:spacing w:line="240" w:lineRule="auto"/>
        <w:ind w:firstLine="480" w:firstLineChars="200"/>
        <w:jc w:val="left"/>
        <w:rPr>
          <w:rFonts w:hint="eastAsia" w:ascii="仿宋_GB2312" w:hAnsi="仿宋_GB2312" w:eastAsia="仿宋_GB2312" w:cs="仿宋_GB2312"/>
          <w:sz w:val="24"/>
          <w:szCs w:val="24"/>
          <w:lang w:val="en-US" w:eastAsia="zh-CN"/>
        </w:rPr>
      </w:pPr>
    </w:p>
    <w:p>
      <w:pPr>
        <w:spacing w:line="240" w:lineRule="auto"/>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rPr>
        <w:t>、大会拟邀请参会的领导与专家</w:t>
      </w:r>
    </w:p>
    <w:p>
      <w:pPr>
        <w:spacing w:line="240" w:lineRule="auto"/>
        <w:rPr>
          <w:rFonts w:hint="eastAsia" w:ascii="仿宋_GB2312" w:hAnsi="仿宋_GB2312" w:eastAsia="仿宋_GB2312" w:cs="仿宋_GB2312"/>
          <w:sz w:val="24"/>
          <w:szCs w:val="24"/>
          <w:lang w:val="en-US" w:eastAsia="zh-CN"/>
        </w:rPr>
      </w:pPr>
      <w:r>
        <w:rPr>
          <w:rFonts w:hint="eastAsia" w:ascii="楷体_GB2312" w:hAnsi="楷体_GB2312" w:eastAsia="楷体_GB2312" w:cs="楷体_GB2312"/>
          <w:b/>
          <w:bCs w:val="0"/>
          <w:sz w:val="24"/>
          <w:szCs w:val="24"/>
          <w:lang w:val="en-US" w:eastAsia="zh-CN"/>
        </w:rPr>
        <w:t>贺武华</w:t>
      </w:r>
      <w:r>
        <w:rPr>
          <w:rFonts w:hint="eastAsia" w:ascii="仿宋_GB2312" w:hAnsi="仿宋_GB2312" w:eastAsia="仿宋_GB2312" w:cs="仿宋_GB2312"/>
          <w:sz w:val="24"/>
          <w:szCs w:val="24"/>
          <w:lang w:val="en-US" w:eastAsia="zh-CN"/>
        </w:rPr>
        <w:t>：浙江省人民政府督学、浙江财经大学高层次杰出青年引进人才，公共管理学院教授、博士、博士生导师，浙江省151人才工程第一层次人才、长期从事教育基本理论、教育政策等方面的研究。</w:t>
      </w:r>
    </w:p>
    <w:p>
      <w:pPr>
        <w:spacing w:line="240" w:lineRule="auto"/>
        <w:rPr>
          <w:rFonts w:hint="default" w:ascii="楷体_GB2312" w:hAnsi="楷体_GB2312" w:eastAsia="楷体_GB2312" w:cs="楷体_GB2312"/>
          <w:b/>
          <w:bCs w:val="0"/>
          <w:sz w:val="24"/>
          <w:szCs w:val="24"/>
          <w:lang w:val="en-US" w:eastAsia="zh-CN"/>
        </w:rPr>
      </w:pPr>
      <w:r>
        <w:rPr>
          <w:rFonts w:hint="eastAsia" w:ascii="楷体_GB2312" w:hAnsi="楷体_GB2312" w:eastAsia="楷体_GB2312" w:cs="楷体_GB2312"/>
          <w:b/>
          <w:bCs w:val="0"/>
          <w:sz w:val="24"/>
          <w:szCs w:val="24"/>
          <w:lang w:val="en-US" w:eastAsia="zh-CN"/>
        </w:rPr>
        <w:t>杨忠贤：</w:t>
      </w:r>
      <w:r>
        <w:rPr>
          <w:rFonts w:hint="eastAsia" w:ascii="仿宋_GB2312" w:hAnsi="仿宋_GB2312" w:eastAsia="仿宋_GB2312" w:cs="仿宋_GB2312"/>
          <w:sz w:val="24"/>
          <w:szCs w:val="24"/>
          <w:lang w:val="en-US" w:eastAsia="zh-CN"/>
        </w:rPr>
        <w:t>杭州市人民政府教育督导室兼职督学、浙江省地方教材《生涯规划》、《心理教育》审定专家组成员，浙江大学继续教育学院新高考与生涯教育课程特聘教师，杭州学习生活促进会教育专业委员会副主任、浙江省生涯教育发展联盟理事长，曾编著出版《智慧成长-高中生生涯规划》、《2019年高考政治热点解读》等多种教育用书。</w:t>
      </w:r>
    </w:p>
    <w:p>
      <w:pPr>
        <w:spacing w:line="240" w:lineRule="auto"/>
        <w:rPr>
          <w:rFonts w:hint="eastAsia" w:ascii="仿宋_GB2312" w:hAnsi="仿宋_GB2312" w:eastAsia="仿宋_GB2312" w:cs="仿宋_GB2312"/>
          <w:sz w:val="24"/>
          <w:szCs w:val="24"/>
          <w:lang w:val="en-US" w:eastAsia="zh-CN"/>
        </w:rPr>
      </w:pPr>
      <w:r>
        <w:rPr>
          <w:rFonts w:hint="eastAsia" w:ascii="楷体_GB2312" w:hAnsi="楷体_GB2312" w:eastAsia="楷体_GB2312" w:cs="楷体_GB2312"/>
          <w:b/>
          <w:bCs w:val="0"/>
          <w:sz w:val="24"/>
          <w:szCs w:val="24"/>
          <w:lang w:eastAsia="zh-CN"/>
        </w:rPr>
        <w:t>李文辉：</w:t>
      </w:r>
      <w:r>
        <w:rPr>
          <w:rFonts w:hint="eastAsia" w:ascii="仿宋_GB2312" w:hAnsi="仿宋_GB2312" w:eastAsia="仿宋_GB2312" w:cs="仿宋_GB2312"/>
          <w:sz w:val="24"/>
          <w:szCs w:val="24"/>
          <w:lang w:val="en-US" w:eastAsia="zh-CN"/>
        </w:rPr>
        <w:t>势生涯创始人、中国人生科学学会学生发展指导专业委员会理事长、</w:t>
      </w:r>
    </w:p>
    <w:p>
      <w:pPr>
        <w:spacing w:line="240" w:lineRule="auto"/>
        <w:ind w:firstLine="960" w:firstLineChars="4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全国《生涯规划教育与学生未来发展研究》总课题组负责人、</w:t>
      </w:r>
    </w:p>
    <w:p>
      <w:pPr>
        <w:spacing w:line="240" w:lineRule="auto"/>
        <w:ind w:firstLine="960" w:firstLineChars="4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势生涯创始人。</w:t>
      </w:r>
    </w:p>
    <w:p>
      <w:pPr>
        <w:spacing w:line="240" w:lineRule="auto"/>
        <w:rPr>
          <w:rFonts w:hint="default" w:ascii="Arial" w:hAnsi="Arial" w:cs="Arial"/>
          <w:i w:val="0"/>
          <w:caps w:val="0"/>
          <w:color w:val="191919"/>
          <w:spacing w:val="0"/>
          <w:sz w:val="24"/>
          <w:szCs w:val="24"/>
          <w:shd w:val="clear" w:fill="FFFFFF"/>
          <w:lang w:val="en-US" w:eastAsia="zh-CN"/>
        </w:rPr>
      </w:pPr>
      <w:r>
        <w:rPr>
          <w:rFonts w:hint="eastAsia" w:ascii="楷体_GB2312" w:hAnsi="楷体_GB2312" w:eastAsia="楷体_GB2312" w:cs="楷体_GB2312"/>
          <w:b/>
          <w:bCs w:val="0"/>
          <w:sz w:val="24"/>
          <w:szCs w:val="24"/>
          <w:lang w:val="en-US" w:eastAsia="zh-CN"/>
        </w:rPr>
        <w:t>郭建民：</w:t>
      </w:r>
      <w:r>
        <w:rPr>
          <w:rFonts w:hint="eastAsia" w:ascii="仿宋_GB2312" w:hAnsi="仿宋_GB2312" w:eastAsia="仿宋_GB2312" w:cs="仿宋_GB2312"/>
          <w:sz w:val="24"/>
          <w:szCs w:val="24"/>
          <w:lang w:val="en-US" w:eastAsia="zh-CN"/>
        </w:rPr>
        <w:t>中国人生科学学会学生发展指导专业委员会副理事长、哈师大附中特级教师，享受政府特殊津贴，东北师大历史系特聘教授，心理系客座教师，青少年生涯教育研究中心研究员，黑龙江省高考改革探路项目专家组成员，曾任教育部阳光高考平台专家，北大、南开等高校招生顾问，长期从事高校高中衔接拔尖创新人才培养工作。</w:t>
      </w:r>
    </w:p>
    <w:p>
      <w:pPr>
        <w:spacing w:line="240" w:lineRule="auto"/>
        <w:rPr>
          <w:rFonts w:hint="eastAsia" w:ascii="Arial" w:hAnsi="Arial" w:cs="Arial"/>
          <w:i w:val="0"/>
          <w:caps w:val="0"/>
          <w:color w:val="191919"/>
          <w:spacing w:val="0"/>
          <w:sz w:val="24"/>
          <w:szCs w:val="24"/>
          <w:shd w:val="clear" w:fill="FFFFFF"/>
          <w:lang w:val="en-US" w:eastAsia="zh-CN"/>
        </w:rPr>
      </w:pPr>
      <w:r>
        <w:rPr>
          <w:rFonts w:hint="eastAsia" w:ascii="楷体_GB2312" w:hAnsi="楷体_GB2312" w:eastAsia="楷体_GB2312" w:cs="楷体_GB2312"/>
          <w:b/>
          <w:bCs w:val="0"/>
          <w:sz w:val="24"/>
          <w:szCs w:val="24"/>
          <w:lang w:eastAsia="zh-CN"/>
        </w:rPr>
        <w:t>吴轲：</w:t>
      </w:r>
      <w:r>
        <w:rPr>
          <w:rFonts w:hint="eastAsia" w:ascii="仿宋_GB2312" w:hAnsi="仿宋_GB2312" w:eastAsia="仿宋_GB2312" w:cs="仿宋_GB2312"/>
          <w:sz w:val="24"/>
          <w:szCs w:val="24"/>
          <w:lang w:val="en-US" w:eastAsia="zh-CN"/>
        </w:rPr>
        <w:t>智联招聘金牌讲师、国家一级职业指导师、二级心理咨询师、生涯规划师，有近十年的职业生涯规划经验，专注于职场人的职业转换辅导。</w:t>
      </w:r>
    </w:p>
    <w:p>
      <w:pPr>
        <w:spacing w:line="240" w:lineRule="auto"/>
        <w:rPr>
          <w:rFonts w:hint="eastAsia" w:ascii="Arial" w:hAnsi="Arial" w:cs="Arial"/>
          <w:i w:val="0"/>
          <w:caps w:val="0"/>
          <w:color w:val="191919"/>
          <w:spacing w:val="0"/>
          <w:sz w:val="24"/>
          <w:szCs w:val="24"/>
          <w:shd w:val="clear" w:fill="FFFFFF"/>
          <w:lang w:val="en-US" w:eastAsia="zh-CN"/>
        </w:rPr>
      </w:pPr>
      <w:r>
        <w:rPr>
          <w:rFonts w:hint="eastAsia" w:ascii="楷体_GB2312" w:hAnsi="楷体_GB2312" w:eastAsia="楷体_GB2312" w:cs="楷体_GB2312"/>
          <w:b/>
          <w:bCs w:val="0"/>
          <w:sz w:val="24"/>
          <w:szCs w:val="24"/>
          <w:lang w:eastAsia="zh-CN"/>
        </w:rPr>
        <w:t>刘崇利：</w:t>
      </w:r>
      <w:r>
        <w:rPr>
          <w:rFonts w:hint="eastAsia" w:ascii="仿宋_GB2312" w:hAnsi="仿宋_GB2312" w:eastAsia="仿宋_GB2312" w:cs="仿宋_GB2312"/>
          <w:sz w:val="24"/>
          <w:szCs w:val="24"/>
          <w:lang w:val="en-US" w:eastAsia="zh-CN"/>
        </w:rPr>
        <w:t>中国人生科学学会学生发展指导专业委员会理事、势生涯测评系统首席研发专家、全国高中选科指导专家、全国高考志愿填报与学生未来发展研究总课题组负责人。</w:t>
      </w:r>
    </w:p>
    <w:p>
      <w:pPr>
        <w:spacing w:line="240" w:lineRule="auto"/>
        <w:rPr>
          <w:rFonts w:hint="eastAsia" w:ascii="楷体_GB2312" w:hAnsi="楷体_GB2312" w:eastAsia="楷体_GB2312" w:cs="楷体_GB2312"/>
          <w:b/>
          <w:bCs w:val="0"/>
          <w:sz w:val="24"/>
          <w:szCs w:val="24"/>
          <w:lang w:eastAsia="zh-CN"/>
        </w:rPr>
      </w:pPr>
      <w:r>
        <w:rPr>
          <w:rFonts w:hint="eastAsia" w:ascii="楷体_GB2312" w:hAnsi="楷体_GB2312" w:eastAsia="楷体_GB2312" w:cs="楷体_GB2312"/>
          <w:b/>
          <w:bCs w:val="0"/>
          <w:sz w:val="24"/>
          <w:szCs w:val="24"/>
          <w:lang w:eastAsia="zh-CN"/>
        </w:rPr>
        <w:t>刘秀萍：</w:t>
      </w:r>
      <w:r>
        <w:rPr>
          <w:rFonts w:hint="eastAsia" w:ascii="仿宋_GB2312" w:hAnsi="仿宋_GB2312" w:eastAsia="仿宋_GB2312" w:cs="仿宋_GB2312"/>
          <w:sz w:val="24"/>
          <w:szCs w:val="24"/>
          <w:lang w:val="en-US" w:eastAsia="zh-CN"/>
        </w:rPr>
        <w:t>光明日报《教育家》杂志学校部主任、记者。</w:t>
      </w:r>
    </w:p>
    <w:p>
      <w:pPr>
        <w:spacing w:line="240" w:lineRule="auto"/>
        <w:jc w:val="left"/>
        <w:rPr>
          <w:rFonts w:hint="eastAsia" w:ascii="仿宋_GB2312" w:hAnsi="仿宋_GB2312" w:eastAsia="仿宋_GB2312" w:cs="仿宋_GB2312"/>
          <w:sz w:val="24"/>
          <w:szCs w:val="24"/>
          <w:lang w:val="en-US" w:eastAsia="zh-CN"/>
        </w:rPr>
      </w:pPr>
      <w:r>
        <w:rPr>
          <w:rFonts w:hint="eastAsia" w:ascii="楷体_GB2312" w:hAnsi="楷体_GB2312" w:eastAsia="楷体_GB2312" w:cs="楷体_GB2312"/>
          <w:b/>
          <w:bCs w:val="0"/>
          <w:sz w:val="24"/>
          <w:szCs w:val="24"/>
          <w:lang w:eastAsia="zh-CN"/>
        </w:rPr>
        <w:t>徐秀琴：</w:t>
      </w:r>
      <w:r>
        <w:rPr>
          <w:rFonts w:hint="eastAsia" w:ascii="仿宋_GB2312" w:hAnsi="仿宋_GB2312" w:eastAsia="仿宋_GB2312" w:cs="仿宋_GB2312"/>
          <w:sz w:val="24"/>
          <w:szCs w:val="24"/>
          <w:lang w:val="en-US" w:eastAsia="zh-CN"/>
        </w:rPr>
        <w:t>势生涯核心专家、中国人生科学学会学生发展指导专业委员会理事、全国生涯规划师、山东大学创新创业学院学生发展导师、曾在世界500强知名企业做人力资源管理工作10年，势生涯学生发展指导能力培训首席咨询师，累计为上千名中学生进行生涯规划辅导，指导学生成功报考清华北大、985、211心仪大学和专业超过100个真实案例。</w:t>
      </w:r>
    </w:p>
    <w:p>
      <w:pPr>
        <w:spacing w:line="240" w:lineRule="auto"/>
        <w:jc w:val="left"/>
        <w:rPr>
          <w:rFonts w:hint="eastAsia" w:ascii="仿宋_GB2312" w:hAnsi="仿宋_GB2312" w:eastAsia="仿宋_GB2312" w:cs="仿宋_GB2312"/>
          <w:sz w:val="24"/>
          <w:szCs w:val="24"/>
          <w:lang w:val="en-US" w:eastAsia="zh-CN"/>
        </w:rPr>
      </w:pPr>
    </w:p>
    <w:p>
      <w:pPr>
        <w:spacing w:line="240" w:lineRule="auto"/>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四、学术年会交流主要内容</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学校</w:t>
      </w:r>
      <w:r>
        <w:rPr>
          <w:rFonts w:hint="eastAsia" w:ascii="仿宋_GB2312" w:hAnsi="仿宋_GB2312" w:eastAsia="仿宋_GB2312" w:cs="仿宋_GB2312"/>
          <w:sz w:val="24"/>
          <w:szCs w:val="24"/>
        </w:rPr>
        <w:t>学生发展指导制度建设研究</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生涯规划教育指导中心建设策略</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学校生涯规划管理策略</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生涯课程、教材研究、生涯社团建设</w:t>
      </w:r>
    </w:p>
    <w:p>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全国学校“卓越生涯规划师”免费培养计划说明</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spacing w:line="24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五、成果展示主要内容</w:t>
      </w:r>
      <w:r>
        <w:rPr>
          <w:rFonts w:hint="eastAsia" w:ascii="仿宋_GB2312" w:hAnsi="仿宋_GB2312" w:eastAsia="仿宋_GB2312" w:cs="仿宋_GB2312"/>
          <w:sz w:val="24"/>
          <w:szCs w:val="24"/>
        </w:rPr>
        <w:t xml:space="preserve">  </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生涯教育专题片、视频、情景剧、微电影、学生演讲视频等</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生涯教育校本课程、生涯教育选修课程、生涯课堂教学设计</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生涯规划教材研发</w:t>
      </w:r>
    </w:p>
    <w:p>
      <w:pPr>
        <w:spacing w:line="240" w:lineRule="auto"/>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（请优秀学校代表发言</w:t>
      </w:r>
      <w:r>
        <w:rPr>
          <w:rFonts w:hint="eastAsia" w:ascii="仿宋_GB2312" w:hAnsi="仿宋_GB2312" w:eastAsia="仿宋_GB2312" w:cs="仿宋_GB2312"/>
          <w:b/>
          <w:bCs/>
          <w:sz w:val="24"/>
          <w:szCs w:val="24"/>
          <w:lang w:val="en-US" w:eastAsia="zh-CN"/>
        </w:rPr>
        <w:t>40分钟，并将成果编辑成册，如“上海中学生涯教育实践”，组委会将安排展台展示，视频资料请带优盘</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 xml:space="preserve"> </w:t>
      </w:r>
    </w:p>
    <w:p>
      <w:pPr>
        <w:spacing w:line="240" w:lineRule="auto"/>
        <w:ind w:firstLine="480" w:firstLineChars="200"/>
        <w:jc w:val="left"/>
        <w:rPr>
          <w:rFonts w:hint="eastAsia" w:ascii="仿宋_GB2312" w:hAnsi="仿宋_GB2312" w:eastAsia="仿宋_GB2312" w:cs="仿宋_GB2312"/>
          <w:sz w:val="24"/>
          <w:szCs w:val="24"/>
        </w:rPr>
      </w:pPr>
    </w:p>
    <w:p>
      <w:pPr>
        <w:spacing w:line="24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六、关于表彰</w:t>
      </w:r>
      <w:r>
        <w:rPr>
          <w:rFonts w:hint="eastAsia" w:ascii="仿宋_GB2312" w:hAnsi="仿宋_GB2312" w:eastAsia="仿宋_GB2312" w:cs="仿宋_GB2312"/>
          <w:sz w:val="24"/>
          <w:szCs w:val="24"/>
        </w:rPr>
        <w:t>（仅限本次参加会议学员参与，不收任何费用）：</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会议期间组委会还将组织开展：</w:t>
      </w:r>
    </w:p>
    <w:p>
      <w:pPr>
        <w:numPr>
          <w:ilvl w:val="0"/>
          <w:numId w:val="1"/>
        </w:num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“全国学校生涯规划教育先进单位”</w:t>
      </w:r>
      <w:r>
        <w:rPr>
          <w:rFonts w:hint="eastAsia" w:ascii="仿宋_GB2312" w:hAnsi="仿宋_GB2312" w:eastAsia="仿宋_GB2312" w:cs="仿宋_GB2312"/>
          <w:sz w:val="24"/>
          <w:szCs w:val="24"/>
          <w:lang w:eastAsia="zh-CN"/>
        </w:rPr>
        <w:t>表彰</w:t>
      </w:r>
      <w:r>
        <w:rPr>
          <w:rFonts w:hint="eastAsia" w:ascii="仿宋_GB2312" w:hAnsi="仿宋_GB2312" w:eastAsia="仿宋_GB2312" w:cs="仿宋_GB2312"/>
          <w:sz w:val="24"/>
          <w:szCs w:val="24"/>
        </w:rPr>
        <w:t>活动</w:t>
      </w:r>
    </w:p>
    <w:p>
      <w:pPr>
        <w:numPr>
          <w:ilvl w:val="0"/>
          <w:numId w:val="1"/>
        </w:numPr>
        <w:spacing w:line="240" w:lineRule="auto"/>
        <w:ind w:left="0" w:leftChars="0"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“全国学校生涯规划教育先进工作者”</w:t>
      </w:r>
      <w:r>
        <w:rPr>
          <w:rFonts w:hint="eastAsia" w:ascii="仿宋_GB2312" w:hAnsi="仿宋_GB2312" w:eastAsia="仿宋_GB2312" w:cs="仿宋_GB2312"/>
          <w:sz w:val="24"/>
          <w:szCs w:val="24"/>
          <w:lang w:eastAsia="zh-CN"/>
        </w:rPr>
        <w:t>表彰</w:t>
      </w:r>
      <w:r>
        <w:rPr>
          <w:rFonts w:hint="eastAsia" w:ascii="仿宋_GB2312" w:hAnsi="仿宋_GB2312" w:eastAsia="仿宋_GB2312" w:cs="仿宋_GB2312"/>
          <w:sz w:val="24"/>
          <w:szCs w:val="24"/>
        </w:rPr>
        <w:t>活动</w:t>
      </w:r>
    </w:p>
    <w:p>
      <w:pPr>
        <w:numPr>
          <w:ilvl w:val="0"/>
          <w:numId w:val="1"/>
        </w:numPr>
        <w:spacing w:line="240" w:lineRule="auto"/>
        <w:ind w:left="0" w:leftChars="0"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全国生涯规划教育先进单位</w:t>
      </w:r>
      <w:r>
        <w:rPr>
          <w:rFonts w:hint="eastAsia" w:ascii="仿宋_GB2312" w:hAnsi="仿宋_GB2312" w:eastAsia="仿宋_GB2312" w:cs="仿宋_GB2312"/>
          <w:sz w:val="24"/>
          <w:szCs w:val="24"/>
          <w:lang w:eastAsia="zh-CN"/>
        </w:rPr>
        <w:t>”先进个人（企事业）表彰</w:t>
      </w:r>
      <w:r>
        <w:rPr>
          <w:rFonts w:hint="eastAsia" w:ascii="仿宋_GB2312" w:hAnsi="仿宋_GB2312" w:eastAsia="仿宋_GB2312" w:cs="仿宋_GB2312"/>
          <w:sz w:val="24"/>
          <w:szCs w:val="24"/>
        </w:rPr>
        <w:t>活动</w:t>
      </w:r>
    </w:p>
    <w:p>
      <w:pPr>
        <w:numPr>
          <w:ilvl w:val="0"/>
          <w:numId w:val="1"/>
        </w:numPr>
        <w:spacing w:line="240" w:lineRule="auto"/>
        <w:ind w:left="0" w:leftChars="0"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论文征集（每人限</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篇）</w:t>
      </w:r>
    </w:p>
    <w:p>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5、生涯规划课教学设计（每人限1节）</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组委会将对获奖单位和个人颁发牌匾与荣誉证书，并择优推荐在大会上交流（来电索要申请表），特别优秀的教学设计、论文、先进工作经验等将推荐到相关杂志进行宣传报道并进行专访。</w:t>
      </w:r>
    </w:p>
    <w:p>
      <w:pPr>
        <w:numPr>
          <w:ilvl w:val="0"/>
          <w:numId w:val="2"/>
        </w:numPr>
        <w:spacing w:line="240" w:lineRule="auto"/>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参加对象：高中、初中学校、专兼职生涯教师、德育校长、德育主任</w:t>
      </w:r>
    </w:p>
    <w:p>
      <w:pPr>
        <w:numPr>
          <w:ilvl w:val="0"/>
          <w:numId w:val="0"/>
        </w:numPr>
        <w:spacing w:line="240" w:lineRule="auto"/>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班主任、学生发展指导中心相关负责人、生涯教育科研单位、公司</w:t>
      </w:r>
    </w:p>
    <w:p>
      <w:pPr>
        <w:numPr>
          <w:ilvl w:val="0"/>
          <w:numId w:val="2"/>
        </w:numPr>
        <w:spacing w:line="24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会议时间及地点</w:t>
      </w:r>
      <w:r>
        <w:rPr>
          <w:rFonts w:hint="eastAsia" w:ascii="仿宋_GB2312" w:hAnsi="仿宋_GB2312" w:eastAsia="仿宋_GB2312" w:cs="仿宋_GB2312"/>
          <w:sz w:val="24"/>
          <w:szCs w:val="24"/>
        </w:rPr>
        <w:t xml:space="preserve">  </w:t>
      </w:r>
    </w:p>
    <w:p>
      <w:pPr>
        <w:numPr>
          <w:ilvl w:val="0"/>
          <w:numId w:val="0"/>
        </w:numPr>
        <w:spacing w:line="240" w:lineRule="auto"/>
        <w:ind w:firstLine="420" w:firstLineChars="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会议时间：2019年12</w:t>
      </w:r>
      <w:r>
        <w:rPr>
          <w:rFonts w:hint="eastAsia" w:ascii="仿宋_GB2312" w:hAnsi="仿宋_GB2312" w:eastAsia="仿宋_GB2312" w:cs="仿宋_GB2312"/>
          <w:sz w:val="24"/>
          <w:szCs w:val="24"/>
          <w:lang w:eastAsia="zh-CN"/>
        </w:rPr>
        <w:t>月</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日—</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日（</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日报到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10号返程</w:t>
      </w:r>
      <w:r>
        <w:rPr>
          <w:rFonts w:hint="eastAsia" w:ascii="仿宋_GB2312" w:hAnsi="仿宋_GB2312" w:eastAsia="仿宋_GB2312" w:cs="仿宋_GB2312"/>
          <w:sz w:val="24"/>
          <w:szCs w:val="24"/>
        </w:rPr>
        <w:t>）</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地点：</w:t>
      </w:r>
      <w:r>
        <w:rPr>
          <w:rFonts w:hint="eastAsia" w:ascii="仿宋_GB2312" w:hAnsi="仿宋_GB2312" w:eastAsia="仿宋_GB2312" w:cs="仿宋_GB2312"/>
          <w:color w:val="auto"/>
          <w:sz w:val="24"/>
          <w:szCs w:val="24"/>
          <w:lang w:val="en-US" w:eastAsia="zh-CN"/>
        </w:rPr>
        <w:t>杭州海外海纳百川大酒店</w:t>
      </w:r>
      <w:r>
        <w:rPr>
          <w:rFonts w:hint="eastAsia" w:ascii="仿宋_GB2312" w:hAnsi="仿宋_GB2312" w:eastAsia="仿宋_GB2312" w:cs="仿宋_GB2312"/>
          <w:sz w:val="24"/>
          <w:szCs w:val="24"/>
        </w:rPr>
        <w:t xml:space="preserve"> </w:t>
      </w:r>
      <w:bookmarkStart w:id="0" w:name="_GoBack"/>
      <w:bookmarkEnd w:id="0"/>
    </w:p>
    <w:p>
      <w:pPr>
        <w:spacing w:line="240" w:lineRule="auto"/>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九、会议费用</w:t>
      </w:r>
    </w:p>
    <w:p>
      <w:pPr>
        <w:spacing w:line="240" w:lineRule="auto"/>
        <w:ind w:firstLine="480" w:firstLineChars="200"/>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会务</w:t>
      </w:r>
      <w:r>
        <w:rPr>
          <w:rFonts w:hint="eastAsia" w:ascii="仿宋_GB2312" w:hAnsi="仿宋_GB2312" w:eastAsia="仿宋_GB2312" w:cs="仿宋_GB2312"/>
          <w:sz w:val="24"/>
          <w:szCs w:val="24"/>
          <w:lang w:val="en-US" w:eastAsia="zh-CN"/>
        </w:rPr>
        <w:t>注册</w:t>
      </w:r>
      <w:r>
        <w:rPr>
          <w:rFonts w:hint="eastAsia" w:ascii="仿宋_GB2312" w:hAnsi="仿宋_GB2312" w:eastAsia="仿宋_GB2312" w:cs="仿宋_GB2312"/>
          <w:sz w:val="24"/>
          <w:szCs w:val="24"/>
        </w:rPr>
        <w:t>费：</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80元（包括：培训费、学习费、专家费、场地费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会议食宿</w:t>
      </w:r>
      <w:r>
        <w:rPr>
          <w:rFonts w:hint="eastAsia" w:ascii="仿宋_GB2312" w:hAnsi="仿宋_GB2312" w:eastAsia="仿宋_GB2312" w:cs="仿宋_GB2312"/>
          <w:sz w:val="24"/>
          <w:szCs w:val="24"/>
          <w:lang w:eastAsia="zh-CN"/>
        </w:rPr>
        <w:t>、差旅费回原单位报销。组委会</w:t>
      </w:r>
      <w:r>
        <w:rPr>
          <w:rFonts w:hint="eastAsia" w:ascii="仿宋_GB2312" w:hAnsi="仿宋_GB2312" w:eastAsia="仿宋_GB2312" w:cs="仿宋_GB2312"/>
          <w:sz w:val="24"/>
          <w:szCs w:val="24"/>
        </w:rPr>
        <w:t>统一安排</w:t>
      </w:r>
      <w:r>
        <w:rPr>
          <w:rFonts w:hint="eastAsia" w:ascii="仿宋_GB2312" w:hAnsi="仿宋_GB2312" w:eastAsia="仿宋_GB2312" w:cs="仿宋_GB2312"/>
          <w:sz w:val="24"/>
          <w:szCs w:val="24"/>
          <w:lang w:eastAsia="zh-CN"/>
        </w:rPr>
        <w:t>食宿（每人每天约</w:t>
      </w:r>
      <w:r>
        <w:rPr>
          <w:rFonts w:hint="eastAsia" w:ascii="仿宋_GB2312" w:hAnsi="仿宋_GB2312" w:eastAsia="仿宋_GB2312" w:cs="仿宋_GB2312"/>
          <w:sz w:val="24"/>
          <w:szCs w:val="24"/>
          <w:lang w:val="en-US" w:eastAsia="zh-CN"/>
        </w:rPr>
        <w:t>320元</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，报名后3日内将会务费汇至指定账户，以便提前安排与会老师的参会资料、座次、食宿。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交通费、住宿费自理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w:t>
      </w:r>
    </w:p>
    <w:p>
      <w:pPr>
        <w:spacing w:line="240" w:lineRule="auto"/>
        <w:jc w:val="left"/>
        <w:rPr>
          <w:rFonts w:hint="eastAsia" w:ascii="仿宋_GB2312" w:hAnsi="仿宋_GB2312" w:eastAsia="仿宋_GB2312" w:cs="仿宋_GB2312"/>
          <w:sz w:val="24"/>
          <w:szCs w:val="24"/>
          <w:lang w:val="en-US" w:eastAsia="zh-CN"/>
        </w:rPr>
      </w:pPr>
    </w:p>
    <w:p>
      <w:pPr>
        <w:numPr>
          <w:ilvl w:val="0"/>
          <w:numId w:val="0"/>
        </w:numPr>
        <w:spacing w:line="240" w:lineRule="auto"/>
        <w:jc w:val="left"/>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十、报名联系电话</w:t>
      </w:r>
    </w:p>
    <w:p>
      <w:pPr>
        <w:ind w:firstLine="240" w:firstLineChars="100"/>
        <w:rPr>
          <w:rFonts w:hint="default" w:ascii="仿宋_GB2312" w:hAnsi="仿宋_GB2312" w:eastAsia="仿宋_GB2312" w:cs="仿宋_GB2312"/>
          <w:sz w:val="24"/>
          <w:szCs w:val="24"/>
          <w:lang w:val="en-US" w:eastAsia="zh-CN"/>
        </w:rPr>
      </w:pPr>
      <w:r>
        <w:rPr>
          <w:rFonts w:hint="eastAsia"/>
          <w:sz w:val="24"/>
          <w:szCs w:val="24"/>
        </w:rPr>
        <w:t xml:space="preserve"> </w:t>
      </w:r>
      <w:r>
        <w:rPr>
          <w:rFonts w:hint="eastAsia" w:ascii="仿宋_GB2312" w:hAnsi="仿宋_GB2312" w:eastAsia="仿宋_GB2312" w:cs="仿宋_GB2312"/>
          <w:sz w:val="24"/>
          <w:szCs w:val="24"/>
          <w:lang w:val="en-US" w:eastAsia="zh-CN"/>
        </w:rPr>
        <w:t xml:space="preserve">联系电话：010 63831196    报名邮箱： nyltlihai@126.com  </w:t>
      </w:r>
    </w:p>
    <w:p>
      <w:pPr>
        <w:ind w:firstLine="240" w:firstLineChars="1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联系人：李老师15810469859    </w:t>
      </w:r>
    </w:p>
    <w:p>
      <w:pPr>
        <w:ind w:firstLine="240" w:firstLineChars="1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网址:  www.zgxxsygh.com（学生发展指导专委会官网）   </w:t>
      </w:r>
    </w:p>
    <w:p>
      <w:pPr>
        <w:ind w:firstLine="240" w:firstLineChars="100"/>
        <w:rPr>
          <w:rFonts w:hint="eastAsia" w:ascii="仿宋_GB2312" w:hAnsi="仿宋_GB2312" w:eastAsia="仿宋_GB2312" w:cs="仿宋_GB2312"/>
          <w:sz w:val="24"/>
          <w:szCs w:val="24"/>
          <w:lang w:val="en-US" w:eastAsia="zh-CN"/>
        </w:rPr>
      </w:pPr>
    </w:p>
    <w:p>
      <w:pPr>
        <w:rPr>
          <w:rFonts w:hint="default" w:eastAsiaTheme="minorEastAsia"/>
          <w:sz w:val="24"/>
          <w:szCs w:val="24"/>
          <w:lang w:val="en-US" w:eastAsia="zh-CN"/>
        </w:rPr>
      </w:pPr>
    </w:p>
    <w:p>
      <w:pPr>
        <w:ind w:firstLine="240" w:firstLineChars="100"/>
        <w:rPr>
          <w:rFonts w:hint="eastAsia"/>
          <w:sz w:val="24"/>
          <w:szCs w:val="24"/>
        </w:rPr>
      </w:pPr>
    </w:p>
    <w:p>
      <w:pPr>
        <w:ind w:firstLine="240" w:firstLineChars="100"/>
        <w:rPr>
          <w:rFonts w:hint="eastAsia"/>
          <w:sz w:val="24"/>
          <w:szCs w:val="24"/>
        </w:rPr>
      </w:pPr>
    </w:p>
    <w:p>
      <w:pPr>
        <w:ind w:firstLine="1807" w:firstLineChars="600"/>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中国人生科学学会学生发展指导专业委员会</w:t>
      </w:r>
    </w:p>
    <w:p>
      <w:pPr>
        <w:ind w:firstLine="1807" w:firstLineChars="600"/>
        <w:rPr>
          <w:rFonts w:hint="default"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 xml:space="preserve">          2019年11月10日</w:t>
      </w:r>
    </w:p>
    <w:p>
      <w:pPr>
        <w:ind w:firstLine="240" w:firstLineChars="100"/>
        <w:rPr>
          <w:rFonts w:hint="eastAsia" w:ascii="黑体" w:hAnsi="黑体" w:eastAsia="黑体" w:cs="黑体"/>
          <w:b/>
          <w:bCs/>
          <w:color w:val="000000" w:themeColor="text1"/>
          <w:sz w:val="24"/>
          <w:szCs w:val="24"/>
          <w:highlight w:val="none"/>
          <w:lang w:val="en-US" w:eastAsia="zh-CN"/>
          <w14:textFill>
            <w14:solidFill>
              <w14:schemeClr w14:val="tx1"/>
            </w14:solidFill>
          </w14:textFill>
        </w:rPr>
      </w:pPr>
      <w:r>
        <w:rPr>
          <w:rFonts w:hint="eastAsia"/>
          <w:sz w:val="24"/>
          <w:szCs w:val="24"/>
        </w:rPr>
        <w:t xml:space="preserve">                    </w:t>
      </w:r>
    </w:p>
    <w:p>
      <w:pPr>
        <w:rPr>
          <w:rFonts w:hint="eastAsia"/>
          <w:sz w:val="24"/>
          <w:szCs w:val="24"/>
        </w:rPr>
      </w:pPr>
      <w:r>
        <w:rPr>
          <w:rFonts w:hint="eastAsia"/>
          <w:sz w:val="24"/>
          <w:szCs w:val="24"/>
        </w:rPr>
        <w:t xml:space="preserve">                                       </w:t>
      </w:r>
    </w:p>
    <w:p>
      <w:pPr>
        <w:rPr>
          <w:rFonts w:hint="eastAsia"/>
          <w:b/>
          <w:bCs/>
          <w:color w:val="C00000"/>
          <w:sz w:val="32"/>
          <w:szCs w:val="32"/>
        </w:rPr>
      </w:pPr>
      <w:r>
        <w:rPr>
          <w:rFonts w:hint="eastAsia"/>
          <w:b/>
          <w:bCs/>
          <w:color w:val="C00000"/>
          <w:sz w:val="32"/>
          <w:szCs w:val="32"/>
          <w:lang w:eastAsia="zh-CN"/>
        </w:rPr>
        <w:t>附件一：</w:t>
      </w:r>
      <w:r>
        <w:rPr>
          <w:rFonts w:hint="eastAsia"/>
          <w:b/>
          <w:bCs/>
          <w:color w:val="C00000"/>
          <w:sz w:val="32"/>
          <w:szCs w:val="32"/>
        </w:rPr>
        <w:t>浙江省第二届高中生生涯规划大赛介绍</w:t>
      </w:r>
    </w:p>
    <w:p>
      <w:pPr>
        <w:rPr>
          <w:rFonts w:hint="eastAsia" w:eastAsiaTheme="minorEastAsia"/>
          <w:b/>
          <w:bCs/>
          <w:color w:val="C00000"/>
          <w:sz w:val="32"/>
          <w:szCs w:val="32"/>
          <w:lang w:eastAsia="zh-CN"/>
        </w:rPr>
      </w:pPr>
      <w:r>
        <w:rPr>
          <w:rFonts w:hint="eastAsia"/>
          <w:b/>
          <w:bCs/>
          <w:color w:val="C00000"/>
          <w:sz w:val="32"/>
          <w:szCs w:val="32"/>
          <w:lang w:eastAsia="zh-CN"/>
        </w:rPr>
        <w:t>附件二：</w:t>
      </w:r>
      <w:r>
        <w:rPr>
          <w:rFonts w:hint="eastAsia"/>
          <w:b/>
          <w:bCs/>
          <w:color w:val="C00000"/>
          <w:sz w:val="32"/>
          <w:szCs w:val="32"/>
        </w:rPr>
        <w:t>杭州市源清中学</w:t>
      </w:r>
      <w:r>
        <w:rPr>
          <w:rFonts w:hint="eastAsia"/>
          <w:b/>
          <w:bCs/>
          <w:color w:val="C00000"/>
          <w:sz w:val="32"/>
          <w:szCs w:val="32"/>
          <w:lang w:eastAsia="zh-CN"/>
        </w:rPr>
        <w:t>介绍</w:t>
      </w:r>
    </w:p>
    <w:p>
      <w:pPr>
        <w:rPr>
          <w:rFonts w:hint="eastAsia" w:eastAsiaTheme="minorEastAsia"/>
          <w:b/>
          <w:bCs/>
          <w:color w:val="C00000"/>
          <w:sz w:val="32"/>
          <w:szCs w:val="32"/>
          <w:lang w:val="en-US" w:eastAsia="zh-CN"/>
        </w:rPr>
      </w:pPr>
      <w:r>
        <w:rPr>
          <w:rFonts w:hint="eastAsia"/>
          <w:b/>
          <w:bCs/>
          <w:color w:val="C00000"/>
          <w:sz w:val="32"/>
          <w:szCs w:val="32"/>
          <w:lang w:eastAsia="zh-CN"/>
        </w:rPr>
        <w:t>附件二</w:t>
      </w:r>
      <w:r>
        <w:rPr>
          <w:rFonts w:hint="eastAsia"/>
          <w:b/>
          <w:bCs/>
          <w:color w:val="C00000"/>
          <w:sz w:val="32"/>
          <w:szCs w:val="32"/>
          <w:lang w:val="en-US" w:eastAsia="zh-CN"/>
        </w:rPr>
        <w:t>: 报名表</w:t>
      </w:r>
    </w:p>
    <w:p>
      <w:pPr>
        <w:jc w:val="both"/>
        <w:rPr>
          <w:rFonts w:hint="eastAsia"/>
          <w:b/>
          <w:bCs/>
          <w:color w:val="C00000"/>
          <w:sz w:val="32"/>
          <w:szCs w:val="32"/>
        </w:rPr>
      </w:pPr>
    </w:p>
    <w:p>
      <w:pPr>
        <w:ind w:firstLine="1285" w:firstLineChars="400"/>
        <w:jc w:val="both"/>
        <w:rPr>
          <w:rFonts w:hint="eastAsia"/>
          <w:b/>
          <w:bCs/>
          <w:color w:val="C00000"/>
          <w:sz w:val="32"/>
          <w:szCs w:val="32"/>
        </w:rPr>
      </w:pPr>
      <w:r>
        <w:rPr>
          <w:rFonts w:hint="eastAsia"/>
          <w:b/>
          <w:bCs/>
          <w:color w:val="C00000"/>
          <w:sz w:val="32"/>
          <w:szCs w:val="32"/>
        </w:rPr>
        <w:t>浙江省第二届高中生生涯规划大赛介绍</w:t>
      </w:r>
    </w:p>
    <w:p>
      <w:pPr>
        <w:rPr>
          <w:rFonts w:hint="eastAsia"/>
          <w:sz w:val="24"/>
          <w:szCs w:val="24"/>
        </w:rPr>
      </w:pPr>
    </w:p>
    <w:p>
      <w:pPr>
        <w:spacing w:line="240" w:lineRule="auto"/>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一、大赛目的</w:t>
      </w:r>
    </w:p>
    <w:p>
      <w:pPr>
        <w:spacing w:line="240" w:lineRule="auto"/>
        <w:ind w:firstLine="480" w:firstLineChars="200"/>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sz w:val="24"/>
          <w:szCs w:val="24"/>
        </w:rPr>
        <w:t>为了贯彻国务院办公厅《关于新时代推进普通高中育人方式改革的指导意见》，传播</w:t>
      </w:r>
      <w:r>
        <w:rPr>
          <w:rFonts w:hint="eastAsia" w:ascii="仿宋_GB2312" w:hAnsi="仿宋_GB2312" w:eastAsia="仿宋_GB2312" w:cs="仿宋_GB2312"/>
          <w:sz w:val="24"/>
          <w:szCs w:val="24"/>
          <w:lang w:val="en-US" w:eastAsia="zh-CN"/>
        </w:rPr>
        <w:t>生涯规划理念，</w:t>
      </w:r>
      <w:r>
        <w:rPr>
          <w:rFonts w:hint="eastAsia" w:ascii="仿宋_GB2312" w:hAnsi="仿宋_GB2312" w:eastAsia="仿宋_GB2312" w:cs="仿宋_GB2312"/>
          <w:sz w:val="24"/>
          <w:szCs w:val="24"/>
        </w:rPr>
        <w:t>普及生涯规划</w:t>
      </w:r>
      <w:r>
        <w:rPr>
          <w:rFonts w:hint="eastAsia" w:ascii="仿宋_GB2312" w:hAnsi="仿宋_GB2312" w:eastAsia="仿宋_GB2312" w:cs="仿宋_GB2312"/>
          <w:sz w:val="24"/>
          <w:szCs w:val="24"/>
          <w:lang w:val="en-US" w:eastAsia="zh-CN"/>
        </w:rPr>
        <w:t>知识</w:t>
      </w:r>
      <w:r>
        <w:rPr>
          <w:rFonts w:hint="eastAsia" w:ascii="仿宋_GB2312" w:hAnsi="仿宋_GB2312" w:eastAsia="仿宋_GB2312" w:cs="仿宋_GB2312"/>
          <w:sz w:val="24"/>
          <w:szCs w:val="24"/>
        </w:rPr>
        <w:t>，帮助学生掌握生涯规划的基本方法，引导学生树立主动规划、自我发展的意识，</w:t>
      </w:r>
      <w:r>
        <w:rPr>
          <w:rFonts w:hint="eastAsia" w:ascii="仿宋_GB2312" w:hAnsi="仿宋_GB2312" w:eastAsia="仿宋_GB2312" w:cs="仿宋_GB2312"/>
          <w:sz w:val="24"/>
          <w:szCs w:val="24"/>
          <w:lang w:val="en-US" w:eastAsia="zh-CN"/>
        </w:rPr>
        <w:t>激发学生学习主动性，引导学生</w:t>
      </w:r>
      <w:r>
        <w:rPr>
          <w:rFonts w:hint="eastAsia" w:ascii="仿宋_GB2312" w:hAnsi="仿宋_GB2312" w:eastAsia="仿宋_GB2312" w:cs="仿宋_GB2312"/>
          <w:b w:val="0"/>
          <w:bCs w:val="0"/>
          <w:color w:val="auto"/>
          <w:sz w:val="24"/>
          <w:szCs w:val="24"/>
        </w:rPr>
        <w:t>了解自我</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rPr>
        <w:t>感受社会环境，树立</w:t>
      </w:r>
      <w:r>
        <w:rPr>
          <w:rFonts w:hint="eastAsia" w:ascii="仿宋_GB2312" w:hAnsi="仿宋_GB2312" w:eastAsia="仿宋_GB2312" w:cs="仿宋_GB2312"/>
          <w:b w:val="0"/>
          <w:bCs w:val="0"/>
          <w:color w:val="auto"/>
          <w:sz w:val="24"/>
          <w:szCs w:val="24"/>
          <w:lang w:eastAsia="zh-CN"/>
        </w:rPr>
        <w:t>远大志向</w:t>
      </w:r>
      <w:r>
        <w:rPr>
          <w:rFonts w:hint="eastAsia" w:ascii="仿宋_GB2312" w:hAnsi="仿宋_GB2312" w:eastAsia="仿宋_GB2312" w:cs="仿宋_GB2312"/>
          <w:b w:val="0"/>
          <w:bCs w:val="0"/>
          <w:color w:val="auto"/>
          <w:sz w:val="24"/>
          <w:szCs w:val="24"/>
        </w:rPr>
        <w:t>，为</w:t>
      </w:r>
      <w:r>
        <w:rPr>
          <w:rFonts w:hint="eastAsia" w:ascii="仿宋_GB2312" w:hAnsi="仿宋_GB2312" w:eastAsia="仿宋_GB2312" w:cs="仿宋_GB2312"/>
          <w:b w:val="0"/>
          <w:bCs w:val="0"/>
          <w:color w:val="auto"/>
          <w:sz w:val="24"/>
          <w:szCs w:val="24"/>
          <w:lang w:val="en-US" w:eastAsia="zh-CN"/>
        </w:rPr>
        <w:t>人生</w:t>
      </w:r>
      <w:r>
        <w:rPr>
          <w:rFonts w:hint="eastAsia" w:ascii="仿宋_GB2312" w:hAnsi="仿宋_GB2312" w:eastAsia="仿宋_GB2312" w:cs="仿宋_GB2312"/>
          <w:b w:val="0"/>
          <w:bCs w:val="0"/>
          <w:color w:val="auto"/>
          <w:sz w:val="24"/>
          <w:szCs w:val="24"/>
        </w:rPr>
        <w:t>持续发展打下坚实的基础。</w:t>
      </w:r>
    </w:p>
    <w:p>
      <w:pPr>
        <w:spacing w:line="240" w:lineRule="auto"/>
        <w:ind w:firstLine="482" w:firstLineChars="200"/>
        <w:rPr>
          <w:rFonts w:hint="eastAsia" w:ascii="黑体" w:hAnsi="黑体" w:eastAsia="黑体" w:cs="黑体"/>
          <w:b/>
          <w:bCs/>
          <w:sz w:val="24"/>
          <w:szCs w:val="24"/>
        </w:rPr>
      </w:pPr>
    </w:p>
    <w:p>
      <w:pPr>
        <w:spacing w:line="240" w:lineRule="auto"/>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二、大赛主题</w:t>
      </w:r>
    </w:p>
    <w:p>
      <w:pPr>
        <w:spacing w:line="24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“规划精彩人生、实现自主发展”。</w:t>
      </w:r>
    </w:p>
    <w:p>
      <w:pPr>
        <w:spacing w:line="240" w:lineRule="auto"/>
        <w:ind w:firstLine="480" w:firstLineChars="200"/>
        <w:jc w:val="left"/>
        <w:rPr>
          <w:rFonts w:hint="eastAsia" w:ascii="仿宋_GB2312" w:hAnsi="仿宋_GB2312" w:eastAsia="仿宋_GB2312" w:cs="仿宋_GB2312"/>
          <w:sz w:val="24"/>
          <w:szCs w:val="24"/>
        </w:rPr>
      </w:pPr>
    </w:p>
    <w:p>
      <w:pPr>
        <w:spacing w:line="240" w:lineRule="auto"/>
        <w:ind w:firstLine="482" w:firstLineChars="200"/>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三</w:t>
      </w:r>
      <w:r>
        <w:rPr>
          <w:rFonts w:hint="eastAsia" w:ascii="黑体" w:hAnsi="黑体" w:eastAsia="黑体" w:cs="黑体"/>
          <w:b/>
          <w:bCs/>
          <w:sz w:val="24"/>
          <w:szCs w:val="24"/>
        </w:rPr>
        <w:t>、参赛对象</w:t>
      </w:r>
      <w:r>
        <w:rPr>
          <w:rFonts w:hint="eastAsia" w:ascii="黑体" w:hAnsi="黑体" w:eastAsia="黑体" w:cs="黑体"/>
          <w:b/>
          <w:bCs/>
          <w:sz w:val="24"/>
          <w:szCs w:val="24"/>
          <w:lang w:eastAsia="zh-CN"/>
        </w:rPr>
        <w:t>及观摩嘉宾</w:t>
      </w:r>
    </w:p>
    <w:p>
      <w:pPr>
        <w:spacing w:line="240" w:lineRule="auto"/>
        <w:ind w:firstLine="480" w:firstLineChars="200"/>
        <w:jc w:val="left"/>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参赛对象：</w:t>
      </w:r>
      <w:r>
        <w:rPr>
          <w:rFonts w:hint="eastAsia" w:ascii="仿宋_GB2312" w:hAnsi="仿宋_GB2312" w:eastAsia="仿宋_GB2312" w:cs="仿宋_GB2312"/>
          <w:sz w:val="24"/>
          <w:szCs w:val="24"/>
          <w:lang w:val="en-US" w:eastAsia="zh-CN"/>
        </w:rPr>
        <w:t>浙江省内高中学校学生</w:t>
      </w:r>
    </w:p>
    <w:p>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观摩嘉宾：省</w:t>
      </w:r>
      <w:r>
        <w:rPr>
          <w:rFonts w:hint="eastAsia" w:ascii="仿宋_GB2312" w:hAnsi="仿宋_GB2312" w:eastAsia="仿宋_GB2312" w:cs="仿宋_GB2312"/>
          <w:sz w:val="24"/>
          <w:szCs w:val="24"/>
          <w:lang w:val="en-US" w:eastAsia="zh-CN"/>
        </w:rPr>
        <w:t>内</w:t>
      </w:r>
      <w:r>
        <w:rPr>
          <w:rFonts w:hint="eastAsia" w:ascii="仿宋_GB2312" w:hAnsi="仿宋_GB2312" w:eastAsia="仿宋_GB2312" w:cs="仿宋_GB2312"/>
          <w:sz w:val="24"/>
          <w:szCs w:val="24"/>
          <w:lang w:eastAsia="zh-CN"/>
        </w:rPr>
        <w:t>外高中</w:t>
      </w:r>
      <w:r>
        <w:rPr>
          <w:rFonts w:hint="eastAsia" w:ascii="仿宋_GB2312" w:hAnsi="仿宋_GB2312" w:eastAsia="仿宋_GB2312" w:cs="仿宋_GB2312"/>
          <w:sz w:val="24"/>
          <w:szCs w:val="24"/>
          <w:lang w:val="en-US" w:eastAsia="zh-CN"/>
        </w:rPr>
        <w:t>代表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生涯教育工作者、省内外大学招生办负责人。</w:t>
      </w:r>
    </w:p>
    <w:p>
      <w:pPr>
        <w:spacing w:line="240" w:lineRule="auto"/>
        <w:ind w:firstLine="480" w:firstLineChars="200"/>
        <w:jc w:val="left"/>
        <w:rPr>
          <w:rFonts w:hint="eastAsia" w:ascii="仿宋_GB2312" w:hAnsi="仿宋_GB2312" w:eastAsia="仿宋_GB2312" w:cs="仿宋_GB2312"/>
          <w:sz w:val="24"/>
          <w:szCs w:val="24"/>
          <w:lang w:val="en-US" w:eastAsia="zh-CN"/>
        </w:rPr>
      </w:pPr>
    </w:p>
    <w:p>
      <w:pPr>
        <w:numPr>
          <w:ilvl w:val="0"/>
          <w:numId w:val="0"/>
        </w:numPr>
        <w:spacing w:line="240" w:lineRule="auto"/>
        <w:ind w:firstLine="420" w:firstLineChars="0"/>
        <w:rPr>
          <w:rFonts w:hint="eastAsia" w:ascii="黑体" w:hAnsi="黑体" w:eastAsia="黑体" w:cs="黑体"/>
          <w:b/>
          <w:bCs/>
          <w:sz w:val="24"/>
          <w:szCs w:val="24"/>
        </w:rPr>
      </w:pPr>
      <w:r>
        <w:rPr>
          <w:rFonts w:hint="eastAsia" w:ascii="黑体" w:hAnsi="黑体" w:eastAsia="黑体" w:cs="黑体"/>
          <w:b/>
          <w:bCs/>
          <w:sz w:val="24"/>
          <w:szCs w:val="24"/>
          <w:lang w:val="en-US" w:eastAsia="zh-CN"/>
        </w:rPr>
        <w:t>四、大</w:t>
      </w:r>
      <w:r>
        <w:rPr>
          <w:rFonts w:hint="eastAsia" w:ascii="黑体" w:hAnsi="黑体" w:eastAsia="黑体" w:cs="黑体"/>
          <w:b/>
          <w:bCs/>
          <w:sz w:val="24"/>
          <w:szCs w:val="24"/>
        </w:rPr>
        <w:t>赛</w:t>
      </w:r>
      <w:r>
        <w:rPr>
          <w:rFonts w:hint="eastAsia" w:ascii="黑体" w:hAnsi="黑体" w:eastAsia="黑体" w:cs="黑体"/>
          <w:b/>
          <w:bCs/>
          <w:sz w:val="24"/>
          <w:szCs w:val="24"/>
          <w:lang w:val="en-US" w:eastAsia="zh-CN"/>
        </w:rPr>
        <w:t>阶段与要求</w:t>
      </w:r>
    </w:p>
    <w:p>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本次大赛分为初赛、复赛和决赛三个阶段。</w:t>
      </w:r>
    </w:p>
    <w:p>
      <w:pPr>
        <w:numPr>
          <w:ilvl w:val="0"/>
          <w:numId w:val="3"/>
        </w:num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初赛（各校组织评审）：即日起至11月20日。</w:t>
      </w:r>
    </w:p>
    <w:p>
      <w:pPr>
        <w:spacing w:line="24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szCs w:val="24"/>
          <w:lang w:val="en-US" w:eastAsia="zh-CN"/>
        </w:rPr>
        <w:t>各高中学校根据复赛要求在校内自行组织校级比赛，经评比遴选出优秀参赛作品，包括团队作品和个人作品，分别推选出参加复赛的一支团队</w:t>
      </w:r>
      <w:r>
        <w:rPr>
          <w:rFonts w:hint="eastAsia" w:ascii="仿宋_GB2312" w:hAnsi="仿宋_GB2312" w:eastAsia="仿宋_GB2312" w:cs="仿宋_GB2312"/>
          <w:b/>
          <w:bCs/>
          <w:color w:val="auto"/>
          <w:sz w:val="24"/>
          <w:szCs w:val="24"/>
          <w:lang w:val="en-US" w:eastAsia="zh-CN"/>
        </w:rPr>
        <w:t>或</w:t>
      </w:r>
      <w:r>
        <w:rPr>
          <w:rFonts w:hint="eastAsia" w:ascii="仿宋_GB2312" w:hAnsi="仿宋_GB2312" w:eastAsia="仿宋_GB2312" w:cs="仿宋_GB2312"/>
          <w:color w:val="auto"/>
          <w:sz w:val="24"/>
          <w:szCs w:val="24"/>
          <w:lang w:val="en-US" w:eastAsia="zh-CN"/>
        </w:rPr>
        <w:t>1位个人（个人可以是团队成员）。</w:t>
      </w:r>
      <w:r>
        <w:rPr>
          <w:rFonts w:hint="eastAsia" w:ascii="仿宋_GB2312" w:hAnsi="仿宋_GB2312" w:eastAsia="仿宋_GB2312" w:cs="仿宋_GB2312"/>
          <w:b/>
          <w:bCs/>
          <w:color w:val="auto"/>
          <w:sz w:val="24"/>
          <w:szCs w:val="24"/>
          <w:lang w:val="en-US" w:eastAsia="zh-CN"/>
        </w:rPr>
        <w:t>每所高中也可以只参赛一个团队作品或个人作品</w:t>
      </w:r>
      <w:r>
        <w:rPr>
          <w:rFonts w:hint="eastAsia" w:ascii="仿宋_GB2312" w:hAnsi="仿宋_GB2312" w:eastAsia="仿宋_GB2312" w:cs="仿宋_GB2312"/>
          <w:color w:val="auto"/>
          <w:sz w:val="24"/>
          <w:szCs w:val="24"/>
          <w:lang w:val="en-US" w:eastAsia="zh-CN"/>
        </w:rPr>
        <w:t>。</w:t>
      </w:r>
    </w:p>
    <w:p>
      <w:pPr>
        <w:numPr>
          <w:ilvl w:val="0"/>
          <w:numId w:val="3"/>
        </w:num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复赛（选考在线组织评审）：11月21日至25日。</w:t>
      </w:r>
    </w:p>
    <w:p>
      <w:pPr>
        <w:spacing w:line="240" w:lineRule="auto"/>
        <w:ind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1.在11月21日前各参赛学校将参赛作品提交给选考在线。选考在线同步上线参赛作品。</w:t>
      </w:r>
    </w:p>
    <w:p>
      <w:pPr>
        <w:spacing w:line="240" w:lineRule="auto"/>
        <w:ind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2.参赛作品要求：</w:t>
      </w:r>
    </w:p>
    <w:p>
      <w:pPr>
        <w:spacing w:line="240" w:lineRule="auto"/>
        <w:ind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团队作品：视频展示---“我们的团队”（可以某某团（队）命名），介绍团队的名称、学校与队员、参赛作品主题、形式、内容等。内容主要围绕团队的人生规划或学业规划探索展开，比如：职业访谈、学业教育、升学途径选择等。要求进行视频录制，视频时间2分钟内。如入选决赛，则需要在决赛现场表演该设计，表演时间限制10分钟。</w:t>
      </w:r>
    </w:p>
    <w:p>
      <w:pPr>
        <w:spacing w:line="240" w:lineRule="auto"/>
        <w:ind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个人作品：提交生涯规划书一份（字数在4000以内）。生涯规划书主题可以选择“我的人生我做主”、“我的大学梦”、“我的专业我选择”、“我的职业梦”等，规划书内容要求能够反映当代中学生的开拓创新，积极进取的精神风貌，题目可自拟，鼓励创意。如入选决赛，则需要把生涯规划书改成演讲稿，在决赛现场演讲，演讲时间控制在7分钟内。</w:t>
      </w:r>
    </w:p>
    <w:p>
      <w:pPr>
        <w:numPr>
          <w:ilvl w:val="0"/>
          <w:numId w:val="0"/>
        </w:numPr>
        <w:spacing w:line="240" w:lineRule="auto"/>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szCs w:val="24"/>
          <w:lang w:val="en-US" w:eastAsia="zh-CN"/>
        </w:rPr>
        <w:t>（3）评比办法：所有复赛作品都通过选考在线平台展示，并由公众投票（占比30%）和专家评分（占比70%）评选出10支团队和10位个人晋级决赛，团队和个人可以分别来自不同的高中学校。</w:t>
      </w:r>
    </w:p>
    <w:p>
      <w:pPr>
        <w:numPr>
          <w:ilvl w:val="0"/>
          <w:numId w:val="3"/>
        </w:num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现场决赛：12月6-8日，决赛地点：杭州市源清中学。</w:t>
      </w:r>
    </w:p>
    <w:p>
      <w:pPr>
        <w:numPr>
          <w:ilvl w:val="0"/>
          <w:numId w:val="4"/>
        </w:numPr>
        <w:spacing w:line="240" w:lineRule="auto"/>
        <w:ind w:firstLine="48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每支参赛队限定4-6名成员，其中设队长一人，另设指导老师1-2名。</w:t>
      </w:r>
    </w:p>
    <w:p>
      <w:pPr>
        <w:numPr>
          <w:ilvl w:val="0"/>
          <w:numId w:val="4"/>
        </w:numPr>
        <w:spacing w:line="240" w:lineRule="auto"/>
        <w:ind w:left="0" w:leftChars="0" w:firstLine="48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决赛流程：</w:t>
      </w:r>
    </w:p>
    <w:p>
      <w:pPr>
        <w:numPr>
          <w:ilvl w:val="0"/>
          <w:numId w:val="0"/>
        </w:numPr>
        <w:spacing w:line="240" w:lineRule="auto"/>
        <w:ind w:firstLine="480"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团队赛</w:t>
      </w:r>
    </w:p>
    <w:p>
      <w:pPr>
        <w:numPr>
          <w:ilvl w:val="0"/>
          <w:numId w:val="5"/>
        </w:numPr>
        <w:spacing w:line="240" w:lineRule="auto"/>
        <w:ind w:firstLine="42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生涯团队介绍：采用视频播放形式，播放复赛作品视频，时间在2分钟内。</w:t>
      </w:r>
    </w:p>
    <w:p>
      <w:pPr>
        <w:numPr>
          <w:ilvl w:val="0"/>
          <w:numId w:val="5"/>
        </w:numPr>
        <w:spacing w:line="240" w:lineRule="auto"/>
        <w:ind w:firstLine="42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表演：内容如职业形象展示，主要反映职业认识与体验，能展示某种职业的内在精神。也可以是专业认知、大学认知、多元升学方面的主题，形式不限，鼓励创意表现，可配乐配视频（占总分70%），每个团队表演时间控制在10分钟内。</w:t>
      </w:r>
    </w:p>
    <w:p>
      <w:pPr>
        <w:numPr>
          <w:ilvl w:val="0"/>
          <w:numId w:val="5"/>
        </w:numPr>
        <w:spacing w:line="240" w:lineRule="auto"/>
        <w:ind w:firstLine="42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生涯知识答题： 题目内容包括生涯知识、生涯规划、专业认识与大学路径、人生目标等。题目采用抽签形式，每队必答题2个（占总分30%）。时间控制在3分钟内。</w:t>
      </w:r>
    </w:p>
    <w:p>
      <w:pPr>
        <w:numPr>
          <w:ilvl w:val="0"/>
          <w:numId w:val="0"/>
        </w:numPr>
        <w:spacing w:line="240" w:lineRule="auto"/>
        <w:ind w:firstLine="42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点评：在所有团队作品展示结束后，评委根据展示内容和效果给分，并做点评，时间控制在10分钟内。</w:t>
      </w:r>
    </w:p>
    <w:p>
      <w:pPr>
        <w:numPr>
          <w:ilvl w:val="0"/>
          <w:numId w:val="0"/>
        </w:numPr>
        <w:spacing w:line="240" w:lineRule="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 xml:space="preserve">    个人赛</w:t>
      </w:r>
    </w:p>
    <w:p>
      <w:pPr>
        <w:numPr>
          <w:ilvl w:val="0"/>
          <w:numId w:val="0"/>
        </w:numPr>
        <w:spacing w:line="240" w:lineRule="auto"/>
        <w:ind w:firstLine="480" w:firstLineChars="200"/>
        <w:rPr>
          <w:rFonts w:hint="eastAsia" w:ascii="仿宋_GB2312" w:hAnsi="仿宋_GB2312" w:eastAsia="仿宋_GB2312" w:cs="仿宋_GB2312"/>
          <w:b/>
          <w:bCs/>
          <w:color w:val="0000FF"/>
          <w:sz w:val="24"/>
          <w:szCs w:val="24"/>
          <w:lang w:val="en-US" w:eastAsia="zh-CN"/>
        </w:rPr>
      </w:pPr>
      <w:r>
        <w:rPr>
          <w:rFonts w:hint="eastAsia" w:ascii="仿宋_GB2312" w:hAnsi="仿宋_GB2312" w:eastAsia="仿宋_GB2312" w:cs="仿宋_GB2312"/>
          <w:color w:val="auto"/>
          <w:sz w:val="24"/>
          <w:szCs w:val="24"/>
          <w:lang w:val="en-US" w:eastAsia="zh-CN"/>
        </w:rPr>
        <w:t>（1）生涯规划演讲（占总分70%），包括自我介绍，个人生涯成长设计与规划，时长不超过7分钟。</w:t>
      </w:r>
    </w:p>
    <w:p>
      <w:pPr>
        <w:numPr>
          <w:ilvl w:val="0"/>
          <w:numId w:val="0"/>
        </w:numPr>
        <w:spacing w:line="240" w:lineRule="auto"/>
        <w:ind w:firstLine="480" w:firstLineChars="20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（2）答辩环节：评委根据演讲情况进行提问，提问涉及的主要是关于学生本人生涯规划的形成过程和论证可行性问题。选手进行答辩（占总分30%），时间控制在3分钟内。</w:t>
      </w: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点评：在所有个人作品展示结束后，评委根据展示内容和效果给分，并做点评，时间控制在10分钟内。</w:t>
      </w:r>
    </w:p>
    <w:p>
      <w:pPr>
        <w:numPr>
          <w:ilvl w:val="0"/>
          <w:numId w:val="0"/>
        </w:numPr>
        <w:spacing w:line="240" w:lineRule="auto"/>
        <w:ind w:firstLine="480" w:firstLineChars="200"/>
        <w:jc w:val="left"/>
        <w:rPr>
          <w:rFonts w:hint="eastAsia" w:ascii="仿宋_GB2312" w:hAnsi="仿宋_GB2312" w:eastAsia="仿宋_GB2312" w:cs="仿宋_GB2312"/>
          <w:color w:val="C00000"/>
          <w:sz w:val="24"/>
          <w:szCs w:val="24"/>
          <w:lang w:val="en-US" w:eastAsia="zh-CN"/>
        </w:rPr>
      </w:pPr>
      <w:r>
        <w:rPr>
          <w:rFonts w:hint="eastAsia" w:ascii="仿宋_GB2312" w:hAnsi="仿宋_GB2312" w:eastAsia="仿宋_GB2312" w:cs="仿宋_GB2312"/>
          <w:color w:val="auto"/>
          <w:sz w:val="24"/>
          <w:szCs w:val="24"/>
          <w:lang w:val="en-US" w:eastAsia="zh-CN"/>
        </w:rPr>
        <w:t xml:space="preserve"> </w:t>
      </w:r>
      <w:r>
        <w:rPr>
          <w:rFonts w:hint="eastAsia" w:ascii="黑体" w:hAnsi="黑体" w:eastAsia="黑体" w:cs="黑体"/>
          <w:b/>
          <w:bCs/>
          <w:color w:val="000000" w:themeColor="text1"/>
          <w:sz w:val="24"/>
          <w:szCs w:val="24"/>
          <w:lang w:val="en-US" w:eastAsia="zh-CN"/>
          <w14:textFill>
            <w14:solidFill>
              <w14:schemeClr w14:val="tx1"/>
            </w14:solidFill>
          </w14:textFill>
        </w:rPr>
        <w:t>五、奖项设置</w:t>
      </w:r>
    </w:p>
    <w:p>
      <w:pPr>
        <w:numPr>
          <w:ilvl w:val="0"/>
          <w:numId w:val="0"/>
        </w:numPr>
        <w:spacing w:line="240" w:lineRule="auto"/>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C00000"/>
          <w:sz w:val="24"/>
          <w:szCs w:val="24"/>
          <w:lang w:val="en-US" w:eastAsia="zh-CN"/>
        </w:rPr>
        <w:t xml:space="preserve">    </w:t>
      </w:r>
      <w:r>
        <w:rPr>
          <w:rFonts w:hint="eastAsia" w:ascii="仿宋_GB2312" w:hAnsi="仿宋_GB2312" w:eastAsia="仿宋_GB2312" w:cs="仿宋_GB2312"/>
          <w:color w:val="002060"/>
          <w:sz w:val="24"/>
          <w:szCs w:val="24"/>
          <w:lang w:val="en-US" w:eastAsia="zh-CN"/>
        </w:rPr>
        <w:t xml:space="preserve"> 1</w:t>
      </w:r>
      <w:r>
        <w:rPr>
          <w:rFonts w:hint="eastAsia" w:ascii="仿宋_GB2312" w:hAnsi="仿宋_GB2312" w:eastAsia="仿宋_GB2312" w:cs="仿宋_GB2312"/>
          <w:color w:val="C00000"/>
          <w:sz w:val="24"/>
          <w:szCs w:val="24"/>
          <w:lang w:val="en-US" w:eastAsia="zh-CN"/>
        </w:rPr>
        <w:t>.</w:t>
      </w:r>
      <w:r>
        <w:rPr>
          <w:rFonts w:hint="eastAsia" w:ascii="仿宋_GB2312" w:hAnsi="仿宋_GB2312" w:eastAsia="仿宋_GB2312" w:cs="仿宋_GB2312"/>
          <w:color w:val="auto"/>
          <w:sz w:val="24"/>
          <w:szCs w:val="24"/>
          <w:lang w:val="en-US" w:eastAsia="zh-CN"/>
        </w:rPr>
        <w:t>按照“复赛20%+决赛80%”的评分办法，团队或个人总分前三名分别设特等奖（冠军）、特等奖（亚军）、特等奖（季军），颁发相应的奖杯、奖状、奖品。其余7队或7位个人选手设为一等奖，所有进入复赛而未能进入决赛的团队或个人设为二等奖，颁发奖状和奖品。</w:t>
      </w:r>
    </w:p>
    <w:p>
      <w:pPr>
        <w:numPr>
          <w:ilvl w:val="0"/>
          <w:numId w:val="0"/>
        </w:numPr>
        <w:spacing w:line="240" w:lineRule="auto"/>
        <w:jc w:val="lef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 xml:space="preserve">     2.设优秀组织奖特等奖（决赛前3名代表的中学）、优秀指导教师奖特等奖（决赛前3名代表的个人或团队指导教师）；优秀组织奖一等奖（作品获一等奖代表的中学）、优秀指导教师奖一等奖（作品获一等奖的指导教师）；优秀组织奖二等奖（作品获二等奖代表的中学）、优秀指导教师奖二等奖（作品获二等奖的指导教师）。奖项就高设置，不重复发奖。</w:t>
      </w: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ind w:firstLine="1920" w:firstLineChars="600"/>
        <w:jc w:val="both"/>
        <w:rPr>
          <w:sz w:val="32"/>
          <w:szCs w:val="32"/>
          <w:shd w:val="clear" w:color="auto" w:fill="F5F5F5"/>
        </w:rPr>
      </w:pPr>
      <w:r>
        <w:rPr>
          <w:sz w:val="32"/>
          <w:szCs w:val="32"/>
          <w:shd w:val="clear" w:color="auto" w:fill="F5F5F5"/>
        </w:rPr>
        <w:t>杭州市源清中学简介</w:t>
      </w:r>
    </w:p>
    <w:p>
      <w:pPr>
        <w:numPr>
          <w:ilvl w:val="0"/>
          <w:numId w:val="6"/>
        </w:numPr>
        <w:jc w:val="left"/>
        <w:rPr>
          <w:shd w:val="clear" w:color="auto" w:fill="F5F5F5"/>
        </w:rPr>
      </w:pPr>
      <w:r>
        <w:rPr>
          <w:rFonts w:hint="eastAsia"/>
          <w:shd w:val="clear" w:color="auto" w:fill="F5F5F5"/>
        </w:rPr>
        <w:t>学校</w:t>
      </w:r>
      <w:r>
        <w:rPr>
          <w:shd w:val="clear" w:color="auto" w:fill="F5F5F5"/>
        </w:rPr>
        <w:t>发展</w:t>
      </w:r>
      <w:r>
        <w:rPr>
          <w:shd w:val="clear" w:color="auto" w:fill="F5F5F5"/>
        </w:rPr>
        <w:br w:type="textWrapping"/>
      </w:r>
      <w:r>
        <w:rPr>
          <w:rFonts w:hint="eastAsia"/>
          <w:shd w:val="clear" w:color="auto" w:fill="F5F5F5"/>
        </w:rPr>
        <w:t xml:space="preserve">     杭州市源清中学是杭州市教育局直属公办的住宿制省级重点高中，学校先后被评为杭州市“行为规范达标学校”、“杭州市文明单位校”、“杭州市文明学校”、“杭州市平安校园示范校”、“浙江省绿色学校”、“浙江省数字校园实验学校”、“长三角千校网络结对示范学校”、“国家教育信息化试点学校”。</w:t>
      </w:r>
    </w:p>
    <w:p>
      <w:pPr>
        <w:rPr>
          <w:rFonts w:hint="eastAsia"/>
          <w:shd w:val="clear" w:color="auto" w:fill="F5F5F5"/>
        </w:rPr>
      </w:pPr>
    </w:p>
    <w:p>
      <w:pPr>
        <w:rPr>
          <w:rFonts w:ascii="Times New Roman" w:hAnsi="Times New Roman" w:cs="Times New Roman"/>
        </w:rPr>
      </w:pPr>
      <w:r>
        <w:rPr>
          <w:rFonts w:ascii="Times New Roman" w:hAnsi="Times New Roman" w:cs="Times New Roman"/>
        </w:rPr>
        <w:drawing>
          <wp:inline distT="0" distB="0" distL="114300" distR="114300">
            <wp:extent cx="5144135" cy="2950210"/>
            <wp:effectExtent l="0" t="0" r="18415" b="2540"/>
            <wp:docPr id="4" name="图片 1" descr="行政楼一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行政楼一景"/>
                    <pic:cNvPicPr>
                      <a:picLocks noChangeAspect="1"/>
                    </pic:cNvPicPr>
                  </pic:nvPicPr>
                  <pic:blipFill>
                    <a:blip r:embed="rId4"/>
                    <a:stretch>
                      <a:fillRect/>
                    </a:stretch>
                  </pic:blipFill>
                  <pic:spPr>
                    <a:xfrm>
                      <a:off x="0" y="0"/>
                      <a:ext cx="5144135" cy="2950210"/>
                    </a:xfrm>
                    <a:prstGeom prst="rect">
                      <a:avLst/>
                    </a:prstGeom>
                    <a:noFill/>
                    <a:ln>
                      <a:noFill/>
                    </a:ln>
                  </pic:spPr>
                </pic:pic>
              </a:graphicData>
            </a:graphic>
          </wp:inline>
        </w:drawing>
      </w:r>
    </w:p>
    <w:p>
      <w:pPr>
        <w:rPr>
          <w:rFonts w:ascii="宋体" w:hAnsi="宋体"/>
        </w:rPr>
      </w:pPr>
    </w:p>
    <w:p>
      <w:pPr>
        <w:rPr>
          <w:rFonts w:ascii="宋体" w:hAnsi="宋体"/>
        </w:rPr>
      </w:pPr>
      <w:r>
        <w:rPr>
          <w:rFonts w:ascii="宋体" w:hAnsi="宋体"/>
        </w:rPr>
        <w:t>2</w:t>
      </w:r>
      <w:r>
        <w:rPr>
          <w:rFonts w:hint="eastAsia" w:ascii="宋体" w:hAnsi="宋体"/>
        </w:rPr>
        <w:t>.校训和办学理：</w:t>
      </w:r>
    </w:p>
    <w:p>
      <w:pPr>
        <w:rPr>
          <w:rFonts w:ascii="宋体" w:hAnsi="宋体"/>
        </w:rPr>
      </w:pPr>
      <w:r>
        <w:rPr>
          <w:rFonts w:ascii="宋体" w:hAnsi="宋体"/>
        </w:rPr>
        <w:drawing>
          <wp:inline distT="0" distB="0" distL="114300" distR="114300">
            <wp:extent cx="4294505" cy="2255520"/>
            <wp:effectExtent l="0" t="0" r="10795" b="11430"/>
            <wp:docPr id="3" name="图片 2" descr="清源中学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清源中学5"/>
                    <pic:cNvPicPr>
                      <a:picLocks noChangeAspect="1"/>
                    </pic:cNvPicPr>
                  </pic:nvPicPr>
                  <pic:blipFill>
                    <a:blip r:embed="rId5"/>
                    <a:stretch>
                      <a:fillRect/>
                    </a:stretch>
                  </pic:blipFill>
                  <pic:spPr>
                    <a:xfrm>
                      <a:off x="0" y="0"/>
                      <a:ext cx="4294505" cy="2255520"/>
                    </a:xfrm>
                    <a:prstGeom prst="rect">
                      <a:avLst/>
                    </a:prstGeom>
                    <a:noFill/>
                    <a:ln>
                      <a:noFill/>
                    </a:ln>
                  </pic:spPr>
                </pic:pic>
              </a:graphicData>
            </a:graphic>
          </wp:inline>
        </w:drawing>
      </w:r>
    </w:p>
    <w:p>
      <w:pPr>
        <w:rPr>
          <w:rFonts w:hint="eastAsia" w:ascii="Times New Roman" w:hAnsi="Times New Roman" w:cs="Times New Roman"/>
        </w:rPr>
      </w:pPr>
    </w:p>
    <w:p>
      <w:pPr>
        <w:rPr>
          <w:rFonts w:cs="Times New Roman"/>
          <w:b/>
          <w:bCs/>
        </w:rPr>
      </w:pPr>
      <w:r>
        <w:rPr>
          <w:rFonts w:hint="eastAsia" w:cs="宋体"/>
          <w:b/>
          <w:bCs/>
        </w:rPr>
        <w:t>3.校园风光</w:t>
      </w:r>
      <w:r>
        <w:rPr>
          <w:b/>
          <w:bCs/>
        </w:rPr>
        <w:t xml:space="preserve"> </w:t>
      </w:r>
      <w:r>
        <w:rPr>
          <w:rFonts w:hint="eastAsia" w:cs="宋体"/>
          <w:b/>
          <w:bCs/>
        </w:rPr>
        <w:t>设施一流</w:t>
      </w:r>
    </w:p>
    <w:p>
      <w:pPr>
        <w:ind w:firstLine="420" w:firstLineChars="200"/>
        <w:rPr>
          <w:rFonts w:hint="eastAsia" w:ascii="Times New Roman" w:hAnsi="Times New Roman" w:cs="Times New Roman"/>
        </w:rPr>
      </w:pPr>
      <w:r>
        <w:rPr>
          <w:rFonts w:hint="eastAsia" w:cs="宋体"/>
        </w:rPr>
        <w:t>学校占地</w:t>
      </w:r>
      <w:r>
        <w:t>150</w:t>
      </w:r>
      <w:r>
        <w:rPr>
          <w:rFonts w:hint="eastAsia" w:cs="宋体"/>
        </w:rPr>
        <w:t>亩，宁静雅致，景色宜人，分为教学区和生活区两大区域，教学区均采用数字化多媒体设备教学，除常规的理化生实验室外，还有摄影摄像、地理、历史、音乐、电钢琴、微格、智能机器人等专用教室，图书馆内馆藏丰富．运动区内有标准的</w:t>
      </w:r>
      <w:r>
        <w:t>400</w:t>
      </w:r>
      <w:r>
        <w:rPr>
          <w:rFonts w:hint="eastAsia" w:cs="宋体"/>
        </w:rPr>
        <w:t>米田径场、网球场及室外篮球场，综合体育馆内有篮球场、羽毛球场、健美操教室，射击馆等。生活区中采用公寓式管理，学生公寓设施流，就餐区域宽敞明亮，可同时容纳</w:t>
      </w:r>
      <w:r>
        <w:t>1 600</w:t>
      </w:r>
      <w:r>
        <w:rPr>
          <w:rFonts w:hint="eastAsia" w:cs="宋体"/>
        </w:rPr>
        <w:t>人就餐</w:t>
      </w:r>
      <w:r>
        <w:t>.</w:t>
      </w:r>
      <w:r>
        <w:rPr>
          <w:rFonts w:ascii="Times New Roman" w:hAnsi="Times New Roman" w:cs="Times New Roman"/>
        </w:rPr>
        <w:t xml:space="preserve"> </w:t>
      </w:r>
    </w:p>
    <w:p>
      <w:pPr>
        <w:rPr>
          <w:rFonts w:hint="eastAsia" w:ascii="Times New Roman" w:hAnsi="Times New Roman" w:cs="Times New Roman"/>
        </w:rPr>
      </w:pPr>
    </w:p>
    <w:p>
      <w:pPr>
        <w:rPr>
          <w:rFonts w:hint="eastAsia" w:ascii="Times New Roman" w:hAnsi="Times New Roman" w:cs="Times New Roman"/>
        </w:rPr>
      </w:pPr>
      <w:r>
        <w:rPr>
          <w:rFonts w:ascii="Times New Roman" w:hAnsi="Times New Roman" w:cs="Times New Roman"/>
        </w:rPr>
        <w:drawing>
          <wp:inline distT="0" distB="0" distL="114300" distR="114300">
            <wp:extent cx="4921885" cy="3072130"/>
            <wp:effectExtent l="0" t="0" r="12065" b="13970"/>
            <wp:docPr id="5" name="图片 3" descr="钢琴书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钢琴书吧"/>
                    <pic:cNvPicPr>
                      <a:picLocks noChangeAspect="1"/>
                    </pic:cNvPicPr>
                  </pic:nvPicPr>
                  <pic:blipFill>
                    <a:blip r:embed="rId6"/>
                    <a:stretch>
                      <a:fillRect/>
                    </a:stretch>
                  </pic:blipFill>
                  <pic:spPr>
                    <a:xfrm>
                      <a:off x="0" y="0"/>
                      <a:ext cx="4921885" cy="3072130"/>
                    </a:xfrm>
                    <a:prstGeom prst="rect">
                      <a:avLst/>
                    </a:prstGeom>
                    <a:noFill/>
                    <a:ln>
                      <a:noFill/>
                    </a:ln>
                  </pic:spPr>
                </pic:pic>
              </a:graphicData>
            </a:graphic>
          </wp:inline>
        </w:drawing>
      </w:r>
    </w:p>
    <w:p>
      <w:pPr>
        <w:rPr>
          <w:rFonts w:cs="Times New Roman"/>
          <w:b/>
          <w:bCs/>
        </w:rPr>
      </w:pPr>
      <w:r>
        <w:rPr>
          <w:rFonts w:hint="eastAsia" w:cs="宋体"/>
          <w:b/>
          <w:bCs/>
        </w:rPr>
        <w:t>4.品质校园，高效教学</w:t>
      </w:r>
    </w:p>
    <w:p>
      <w:pPr>
        <w:ind w:firstLine="420" w:firstLineChars="200"/>
        <w:rPr>
          <w:rFonts w:hint="eastAsia" w:cs="宋体"/>
        </w:rPr>
      </w:pPr>
      <w:r>
        <w:rPr>
          <w:rFonts w:hint="eastAsia" w:cs="宋体"/>
        </w:rPr>
        <w:t>学校秉承“有效才是负责”、</w:t>
      </w:r>
      <w:r>
        <w:t xml:space="preserve">  </w:t>
      </w:r>
      <w:r>
        <w:rPr>
          <w:rFonts w:hint="eastAsia" w:cs="宋体"/>
        </w:rPr>
        <w:t>“激活才能学习”、“精神登高才会成长”的教学价值观，推进数字化课堂，尊重发展性差异，实行增量评价。学校重视学生身体素质发展，连续多年在市高中学生身体素质测试中名列前茅，教学质量在几年中持续上扬。</w:t>
      </w:r>
    </w:p>
    <w:p>
      <w:r>
        <w:rPr>
          <w:rFonts w:hint="eastAsia"/>
        </w:rPr>
        <w:t>学校</w:t>
      </w:r>
      <w:r>
        <w:t>坚持“智慧创新，个性发展”的理念，从经世之德、经世之识、经世之能出发，构建了“三维九类、三层百门”的课程体系，重视国际视野的开拓和核心技能的培养，有特色课程群——信息技术应用、商业文化、创意文化、杭州文化等。特别关注本土文化和传统文化的浸润，开设杭州“名人名家”、杭州老字号、西湖文化探寻、影子戏剧、“红楼”初探、诗词意境欣赏和创作、唐诗宋词那些事儿、从孔子看人生、明清小说史话等课程。</w:t>
      </w:r>
    </w:p>
    <w:p>
      <w:pPr>
        <w:rPr>
          <w:rFonts w:hint="eastAsia" w:ascii="Times New Roman" w:hAnsi="Times New Roman" w:cs="Times New Roman"/>
        </w:rPr>
      </w:pPr>
      <w:r>
        <w:rPr>
          <w:rFonts w:ascii="Times New Roman" w:hAnsi="Times New Roman" w:cs="Times New Roman"/>
        </w:rPr>
        <w:drawing>
          <wp:inline distT="0" distB="0" distL="114300" distR="114300">
            <wp:extent cx="5376545" cy="3573780"/>
            <wp:effectExtent l="0" t="0" r="14605" b="7620"/>
            <wp:docPr id="6" name="图片 4" descr="枫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枫叶"/>
                    <pic:cNvPicPr>
                      <a:picLocks noChangeAspect="1"/>
                    </pic:cNvPicPr>
                  </pic:nvPicPr>
                  <pic:blipFill>
                    <a:blip r:embed="rId7"/>
                    <a:stretch>
                      <a:fillRect/>
                    </a:stretch>
                  </pic:blipFill>
                  <pic:spPr>
                    <a:xfrm>
                      <a:off x="0" y="0"/>
                      <a:ext cx="5376545" cy="3573780"/>
                    </a:xfrm>
                    <a:prstGeom prst="rect">
                      <a:avLst/>
                    </a:prstGeom>
                    <a:noFill/>
                    <a:ln>
                      <a:noFill/>
                    </a:ln>
                  </pic:spPr>
                </pic:pic>
              </a:graphicData>
            </a:graphic>
          </wp:inline>
        </w:drawing>
      </w:r>
    </w:p>
    <w:p>
      <w:pPr>
        <w:rPr>
          <w:rFonts w:cs="Times New Roman"/>
          <w:b/>
          <w:bCs/>
        </w:rPr>
      </w:pPr>
      <w:r>
        <w:rPr>
          <w:rFonts w:hint="eastAsia" w:cs="宋体"/>
          <w:b/>
          <w:bCs/>
        </w:rPr>
        <w:t>5.活力校园，实现闪亮人生</w:t>
      </w:r>
    </w:p>
    <w:p>
      <w:pPr>
        <w:ind w:firstLine="420" w:firstLineChars="200"/>
        <w:rPr>
          <w:rFonts w:cs="Times New Roman"/>
        </w:rPr>
      </w:pPr>
      <w:r>
        <w:rPr>
          <w:rFonts w:hint="eastAsia" w:cs="宋体"/>
        </w:rPr>
        <w:t>学校社团活动丰富多彩，有文学、书画、动漫、摄影、智能机器人、器乐队、足球、篮球、田径、健美操、舞蹈、网球等二十几个团、队，并配有专业活动场地和指导教师，社团成果丰硕，活动也丰富多彩。有快乐自主的运动会和艺术节、名人进校园、高雅艺术进校园、校园足球赛、篮球联赛、“阳光女生”系列作品展示、国外暑期夏令营、</w:t>
      </w:r>
      <w:r>
        <w:t>cs</w:t>
      </w:r>
      <w:r>
        <w:rPr>
          <w:rFonts w:hint="eastAsia" w:cs="宋体"/>
        </w:rPr>
        <w:t>野战拓展训练等，同时，每年在学生中进行“闪亮之星”评比，设“尚健、博识、华彩、励学”等奖项，深受学生及家长的欢迎。</w:t>
      </w:r>
    </w:p>
    <w:p>
      <w:pPr>
        <w:rPr>
          <w:rFonts w:hint="eastAsia" w:ascii="Times New Roman" w:hAnsi="Times New Roman" w:cs="Times New Roman"/>
        </w:rPr>
      </w:pPr>
      <w:r>
        <w:rPr>
          <w:rFonts w:ascii="Times New Roman" w:hAnsi="Times New Roman" w:cs="Times New Roman"/>
        </w:rPr>
        <w:drawing>
          <wp:inline distT="0" distB="0" distL="114300" distR="114300">
            <wp:extent cx="5486400" cy="3531870"/>
            <wp:effectExtent l="0" t="0" r="0" b="1143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8"/>
                    <a:stretch>
                      <a:fillRect/>
                    </a:stretch>
                  </pic:blipFill>
                  <pic:spPr>
                    <a:xfrm>
                      <a:off x="0" y="0"/>
                      <a:ext cx="5486400" cy="3531870"/>
                    </a:xfrm>
                    <a:prstGeom prst="rect">
                      <a:avLst/>
                    </a:prstGeom>
                    <a:noFill/>
                    <a:ln>
                      <a:noFill/>
                    </a:ln>
                  </pic:spPr>
                </pic:pic>
              </a:graphicData>
            </a:graphic>
          </wp:inline>
        </w:drawing>
      </w:r>
    </w:p>
    <w:p>
      <w:pPr>
        <w:rPr>
          <w:rFonts w:cs="Times New Roman"/>
          <w:b/>
          <w:bCs/>
        </w:rPr>
      </w:pPr>
      <w:r>
        <w:rPr>
          <w:rFonts w:hint="eastAsia" w:cs="宋体"/>
          <w:b/>
          <w:bCs/>
        </w:rPr>
        <w:t>6.特色办学，拓展个性平台</w:t>
      </w:r>
    </w:p>
    <w:p>
      <w:pPr>
        <w:rPr>
          <w:rFonts w:cs="Times New Roman"/>
        </w:rPr>
      </w:pPr>
      <w:r>
        <w:t xml:space="preserve">    </w:t>
      </w:r>
      <w:r>
        <w:rPr>
          <w:rFonts w:hint="eastAsia" w:cs="宋体"/>
        </w:rPr>
        <w:t>学校实行数字化信息管理。实现了在教学、住宿、学生学籍、晚自修、总务后勤等领域的信息化交互管理，</w:t>
      </w:r>
      <w:r>
        <w:t>,</w:t>
      </w:r>
      <w:r>
        <w:rPr>
          <w:rFonts w:hint="eastAsia" w:cs="宋体"/>
        </w:rPr>
        <w:t>浙江省智能机器人比赛，创新无线网络终端学习，信息化管理、数字化校园在长三角起示范作用。新的学校社团活动场馆大楼将破土动工，社团教室和设备更先进，与杭州市射击射箭运动中心合作的。射击”运动特色项目为学生的社团活动和个性拓展提供更广阔的活动空间和舞台，也成为学校探索特色办学的突破口。学校还很重视对外交流，每年都有英、德、美、韩日等国的学校举行师生互访交流活动，同时也组织与国内、省内特色学校的师生互访活动，以扩大交流，开阔视野。</w:t>
      </w:r>
    </w:p>
    <w:p>
      <w:pPr>
        <w:numPr>
          <w:ilvl w:val="0"/>
          <w:numId w:val="0"/>
        </w:numPr>
        <w:spacing w:line="240" w:lineRule="auto"/>
        <w:ind w:firstLine="480"/>
        <w:jc w:val="left"/>
        <w:rPr>
          <w:rFonts w:hint="eastAsia" w:ascii="仿宋_GB2312" w:hAnsi="仿宋_GB2312" w:eastAsia="仿宋_GB2312" w:cs="仿宋_GB2312"/>
          <w:color w:val="auto"/>
          <w:sz w:val="24"/>
          <w:szCs w:val="24"/>
          <w:lang w:val="en-US" w:eastAsia="zh-CN"/>
        </w:rPr>
      </w:pPr>
    </w:p>
    <w:p>
      <w:pPr>
        <w:ind w:firstLine="1285" w:firstLineChars="400"/>
        <w:jc w:val="both"/>
        <w:rPr>
          <w:rFonts w:hint="eastAsia" w:ascii="仿宋_GB2312" w:hAnsi="仿宋_GB2312" w:eastAsia="仿宋_GB2312" w:cs="仿宋_GB2312"/>
          <w:b/>
          <w:bCs/>
          <w:sz w:val="32"/>
          <w:szCs w:val="32"/>
        </w:rPr>
      </w:pPr>
    </w:p>
    <w:p>
      <w:pPr>
        <w:ind w:firstLine="1285" w:firstLineChars="400"/>
        <w:jc w:val="both"/>
        <w:rPr>
          <w:rFonts w:hint="eastAsia" w:ascii="仿宋_GB2312" w:hAnsi="仿宋_GB2312" w:eastAsia="仿宋_GB2312" w:cs="仿宋_GB2312"/>
          <w:b/>
          <w:bCs/>
          <w:sz w:val="32"/>
          <w:szCs w:val="32"/>
        </w:rPr>
      </w:pPr>
    </w:p>
    <w:p>
      <w:pPr>
        <w:ind w:firstLine="1285" w:firstLineChars="400"/>
        <w:jc w:val="both"/>
        <w:rPr>
          <w:rFonts w:hint="eastAsia" w:ascii="仿宋_GB2312" w:hAnsi="仿宋_GB2312" w:eastAsia="仿宋_GB2312" w:cs="仿宋_GB2312"/>
          <w:b/>
          <w:bCs/>
          <w:sz w:val="32"/>
          <w:szCs w:val="32"/>
        </w:rPr>
      </w:pPr>
    </w:p>
    <w:p>
      <w:pPr>
        <w:ind w:firstLine="1285" w:firstLineChars="400"/>
        <w:jc w:val="both"/>
        <w:rPr>
          <w:rFonts w:hint="eastAsia" w:ascii="仿宋_GB2312" w:hAnsi="仿宋_GB2312" w:eastAsia="仿宋_GB2312" w:cs="仿宋_GB2312"/>
          <w:b/>
          <w:bCs/>
          <w:sz w:val="32"/>
          <w:szCs w:val="32"/>
        </w:rPr>
      </w:pPr>
    </w:p>
    <w:p>
      <w:pPr>
        <w:jc w:val="both"/>
        <w:rPr>
          <w:rFonts w:hint="eastAsia" w:ascii="仿宋_GB2312" w:hAnsi="仿宋_GB2312" w:eastAsia="仿宋_GB2312" w:cs="仿宋_GB2312"/>
          <w:b/>
          <w:bCs/>
          <w:sz w:val="32"/>
          <w:szCs w:val="32"/>
        </w:rPr>
      </w:pPr>
    </w:p>
    <w:p>
      <w:pPr>
        <w:ind w:firstLine="964" w:firstLineChars="300"/>
        <w:jc w:val="both"/>
        <w:rPr>
          <w:rFonts w:hint="eastAsia" w:ascii="楷体_GB2312" w:hAnsi="楷体_GB2312" w:eastAsia="楷体_GB2312" w:cs="楷体_GB2312"/>
          <w:b/>
          <w:bCs/>
          <w:sz w:val="32"/>
          <w:szCs w:val="32"/>
          <w:lang w:eastAsia="zh-CN"/>
        </w:rPr>
      </w:pPr>
      <w:r>
        <w:rPr>
          <w:rFonts w:hint="eastAsia" w:ascii="仿宋_GB2312" w:hAnsi="仿宋_GB2312" w:eastAsia="仿宋_GB2312" w:cs="仿宋_GB2312"/>
          <w:b/>
          <w:bCs/>
          <w:sz w:val="32"/>
          <w:szCs w:val="32"/>
        </w:rPr>
        <w:t>首届全国中学生涯规划教育学术年会</w:t>
      </w:r>
      <w:r>
        <w:rPr>
          <w:rFonts w:hint="eastAsia" w:ascii="楷体_GB2312" w:hAnsi="楷体_GB2312" w:eastAsia="楷体_GB2312" w:cs="楷体_GB2312"/>
          <w:b/>
          <w:bCs/>
          <w:sz w:val="32"/>
          <w:szCs w:val="32"/>
          <w:lang w:eastAsia="zh-CN"/>
        </w:rPr>
        <w:t>活动报名表</w:t>
      </w:r>
    </w:p>
    <w:tbl>
      <w:tblPr>
        <w:tblStyle w:val="3"/>
        <w:tblpPr w:leftFromText="180" w:rightFromText="180" w:vertAnchor="text" w:tblpX="30" w:tblpY="129"/>
        <w:tblOverlap w:val="never"/>
        <w:tblW w:w="9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178"/>
        <w:gridCol w:w="530"/>
        <w:gridCol w:w="885"/>
        <w:gridCol w:w="1750"/>
        <w:gridCol w:w="1620"/>
        <w:gridCol w:w="675"/>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7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单位</w:t>
            </w:r>
          </w:p>
          <w:p>
            <w:pPr>
              <w:jc w:val="center"/>
              <w:rPr>
                <w:rFonts w:hint="eastAsia"/>
                <w:color w:val="auto"/>
                <w:sz w:val="24"/>
                <w:szCs w:val="24"/>
              </w:rPr>
            </w:pPr>
            <w:r>
              <w:rPr>
                <w:rFonts w:hint="eastAsia" w:ascii="仿宋_GB2312" w:hAnsi="仿宋_GB2312" w:eastAsia="仿宋_GB2312" w:cs="仿宋_GB2312"/>
                <w:color w:val="auto"/>
                <w:sz w:val="24"/>
                <w:szCs w:val="24"/>
                <w:lang w:eastAsia="zh-CN"/>
              </w:rPr>
              <w:t>名称</w:t>
            </w:r>
          </w:p>
        </w:tc>
        <w:tc>
          <w:tcPr>
            <w:tcW w:w="8668" w:type="dxa"/>
            <w:gridSpan w:val="7"/>
            <w:noWrap w:val="0"/>
            <w:vAlign w:val="center"/>
          </w:tcPr>
          <w:p>
            <w:pPr>
              <w:jc w:val="center"/>
              <w:rPr>
                <w:rFonts w:hint="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77" w:type="dxa"/>
            <w:noWrap w:val="0"/>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纳税人识别号</w:t>
            </w:r>
          </w:p>
        </w:tc>
        <w:tc>
          <w:tcPr>
            <w:tcW w:w="8668" w:type="dxa"/>
            <w:gridSpan w:val="7"/>
            <w:noWrap w:val="0"/>
            <w:vAlign w:val="center"/>
          </w:tcPr>
          <w:p>
            <w:pPr>
              <w:jc w:val="both"/>
              <w:rPr>
                <w:rFonts w:hint="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77" w:type="dxa"/>
            <w:noWrap w:val="0"/>
            <w:vAlign w:val="center"/>
          </w:tcPr>
          <w:p>
            <w:pPr>
              <w:jc w:val="both"/>
              <w:rPr>
                <w:rFonts w:hint="eastAsia" w:ascii="仿宋_GB2312" w:hAnsi="仿宋_GB2312" w:eastAsia="仿宋_GB2312" w:cs="仿宋_GB2312"/>
                <w:color w:val="auto"/>
                <w:sz w:val="24"/>
                <w:szCs w:val="24"/>
                <w:lang w:eastAsia="zh-CN"/>
              </w:rPr>
            </w:pPr>
            <w:r>
              <w:rPr>
                <w:rFonts w:hint="eastAsia" w:ascii="仿宋" w:hAnsi="仿宋" w:eastAsia="仿宋" w:cs="仿宋"/>
                <w:color w:val="auto"/>
                <w:sz w:val="24"/>
                <w:szCs w:val="24"/>
                <w:lang w:eastAsia="zh-CN"/>
              </w:rPr>
              <w:t>开户行</w:t>
            </w:r>
            <w:r>
              <w:rPr>
                <w:rFonts w:hint="eastAsia" w:ascii="仿宋_GB2312" w:hAnsi="仿宋_GB2312" w:eastAsia="仿宋_GB2312" w:cs="仿宋_GB2312"/>
                <w:color w:val="auto"/>
                <w:sz w:val="24"/>
                <w:szCs w:val="24"/>
                <w:lang w:eastAsia="zh-CN"/>
              </w:rPr>
              <w:t>及账号</w:t>
            </w:r>
          </w:p>
        </w:tc>
        <w:tc>
          <w:tcPr>
            <w:tcW w:w="8668" w:type="dxa"/>
            <w:gridSpan w:val="7"/>
            <w:noWrap w:val="0"/>
            <w:vAlign w:val="center"/>
          </w:tcPr>
          <w:p>
            <w:pPr>
              <w:jc w:val="center"/>
              <w:rPr>
                <w:rFonts w:hint="eastAsia"/>
                <w:color w:val="auto"/>
                <w:sz w:val="24"/>
                <w:szCs w:val="24"/>
              </w:rPr>
            </w:pPr>
            <w:r>
              <w:rPr>
                <w:rFonts w:hint="eastAsia"/>
                <w:color w:val="auto"/>
                <w:sz w:val="24"/>
                <w:szCs w:val="24"/>
                <w:lang w:eastAsia="zh-CN"/>
              </w:rPr>
              <w:t>由本单位会计填写（如不需要可以不填）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77" w:type="dxa"/>
            <w:noWrap w:val="0"/>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邮寄</w:t>
            </w:r>
          </w:p>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地址</w:t>
            </w:r>
          </w:p>
        </w:tc>
        <w:tc>
          <w:tcPr>
            <w:tcW w:w="4343" w:type="dxa"/>
            <w:gridSpan w:val="4"/>
            <w:noWrap w:val="0"/>
            <w:vAlign w:val="center"/>
          </w:tcPr>
          <w:p>
            <w:pPr>
              <w:jc w:val="center"/>
              <w:rPr>
                <w:rFonts w:hint="eastAsia"/>
                <w:sz w:val="24"/>
                <w:szCs w:val="24"/>
              </w:rPr>
            </w:pPr>
          </w:p>
        </w:tc>
        <w:tc>
          <w:tcPr>
            <w:tcW w:w="1620" w:type="dxa"/>
            <w:noWrap w:val="0"/>
            <w:vAlign w:val="center"/>
          </w:tcPr>
          <w:p>
            <w:pPr>
              <w:jc w:val="center"/>
              <w:rPr>
                <w:rFonts w:hint="eastAsia"/>
                <w:sz w:val="24"/>
                <w:szCs w:val="24"/>
              </w:rPr>
            </w:pPr>
            <w:r>
              <w:rPr>
                <w:rFonts w:hint="eastAsia" w:ascii="仿宋_GB2312" w:hAnsi="仿宋_GB2312" w:eastAsia="仿宋_GB2312" w:cs="仿宋_GB2312"/>
                <w:sz w:val="24"/>
              </w:rPr>
              <w:t>邮编</w:t>
            </w:r>
          </w:p>
        </w:tc>
        <w:tc>
          <w:tcPr>
            <w:tcW w:w="2705" w:type="dxa"/>
            <w:gridSpan w:val="2"/>
            <w:noWrap w:val="0"/>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77" w:type="dxa"/>
            <w:vMerge w:val="restart"/>
            <w:noWrap w:val="0"/>
            <w:vAlign w:val="center"/>
          </w:tcPr>
          <w:p>
            <w:pPr>
              <w:jc w:val="center"/>
              <w:rPr>
                <w:rFonts w:hint="eastAsia"/>
                <w:sz w:val="24"/>
                <w:szCs w:val="24"/>
              </w:rPr>
            </w:pPr>
            <w:r>
              <w:rPr>
                <w:rFonts w:hint="eastAsia" w:ascii="仿宋_GB2312" w:hAnsi="仿宋_GB2312" w:eastAsia="仿宋_GB2312" w:cs="仿宋_GB2312"/>
                <w:sz w:val="24"/>
                <w:szCs w:val="24"/>
              </w:rPr>
              <w:t>带队</w:t>
            </w:r>
          </w:p>
        </w:tc>
        <w:tc>
          <w:tcPr>
            <w:tcW w:w="1178" w:type="dxa"/>
            <w:noWrap w:val="0"/>
            <w:vAlign w:val="center"/>
          </w:tcPr>
          <w:p>
            <w:pPr>
              <w:jc w:val="center"/>
              <w:rPr>
                <w:rFonts w:hint="eastAsia"/>
                <w:sz w:val="24"/>
                <w:szCs w:val="24"/>
              </w:rPr>
            </w:pPr>
            <w:r>
              <w:rPr>
                <w:rFonts w:hint="eastAsia" w:ascii="仿宋_GB2312" w:hAnsi="仿宋_GB2312" w:eastAsia="仿宋_GB2312" w:cs="仿宋_GB2312"/>
                <w:sz w:val="24"/>
                <w:szCs w:val="24"/>
              </w:rPr>
              <w:t>姓名</w:t>
            </w:r>
          </w:p>
        </w:tc>
        <w:tc>
          <w:tcPr>
            <w:tcW w:w="530" w:type="dxa"/>
            <w:noWrap w:val="0"/>
            <w:vAlign w:val="center"/>
          </w:tcPr>
          <w:p>
            <w:pPr>
              <w:jc w:val="center"/>
              <w:rPr>
                <w:rFonts w:hint="eastAsia"/>
                <w:sz w:val="24"/>
                <w:szCs w:val="24"/>
              </w:rPr>
            </w:pPr>
            <w:r>
              <w:rPr>
                <w:rFonts w:hint="eastAsia" w:ascii="仿宋_GB2312" w:hAnsi="仿宋_GB2312" w:eastAsia="仿宋_GB2312" w:cs="仿宋_GB2312"/>
                <w:sz w:val="24"/>
                <w:szCs w:val="24"/>
              </w:rPr>
              <w:t>性别</w:t>
            </w:r>
          </w:p>
        </w:tc>
        <w:tc>
          <w:tcPr>
            <w:tcW w:w="885" w:type="dxa"/>
            <w:noWrap w:val="0"/>
            <w:vAlign w:val="center"/>
          </w:tcPr>
          <w:p>
            <w:pPr>
              <w:jc w:val="center"/>
              <w:rPr>
                <w:rFonts w:hint="eastAsia"/>
                <w:sz w:val="24"/>
                <w:szCs w:val="24"/>
              </w:rPr>
            </w:pPr>
            <w:r>
              <w:rPr>
                <w:rFonts w:hint="eastAsia" w:ascii="仿宋_GB2312" w:hAnsi="仿宋_GB2312" w:eastAsia="仿宋_GB2312" w:cs="仿宋_GB2312"/>
                <w:sz w:val="24"/>
                <w:szCs w:val="24"/>
              </w:rPr>
              <w:t>职务</w:t>
            </w:r>
          </w:p>
        </w:tc>
        <w:tc>
          <w:tcPr>
            <w:tcW w:w="1750" w:type="dxa"/>
            <w:noWrap w:val="0"/>
            <w:vAlign w:val="center"/>
          </w:tcPr>
          <w:p>
            <w:pPr>
              <w:jc w:val="center"/>
              <w:rPr>
                <w:rFonts w:hint="eastAsia"/>
                <w:sz w:val="24"/>
                <w:szCs w:val="24"/>
              </w:rPr>
            </w:pPr>
            <w:r>
              <w:rPr>
                <w:rFonts w:hint="eastAsia" w:ascii="仿宋_GB2312" w:hAnsi="仿宋_GB2312" w:eastAsia="仿宋_GB2312" w:cs="仿宋_GB2312"/>
                <w:sz w:val="24"/>
                <w:szCs w:val="24"/>
              </w:rPr>
              <w:t>电话</w:t>
            </w:r>
          </w:p>
        </w:tc>
        <w:tc>
          <w:tcPr>
            <w:tcW w:w="1620" w:type="dxa"/>
            <w:noWrap w:val="0"/>
            <w:vAlign w:val="center"/>
          </w:tcPr>
          <w:p>
            <w:pPr>
              <w:jc w:val="center"/>
              <w:rPr>
                <w:rFonts w:hint="eastAsia"/>
                <w:sz w:val="24"/>
                <w:szCs w:val="24"/>
              </w:rPr>
            </w:pPr>
            <w:r>
              <w:rPr>
                <w:rFonts w:hint="eastAsia" w:ascii="仿宋_GB2312" w:hAnsi="仿宋_GB2312" w:eastAsia="仿宋_GB2312" w:cs="仿宋_GB2312"/>
                <w:sz w:val="24"/>
                <w:szCs w:val="24"/>
              </w:rPr>
              <w:t>手机</w:t>
            </w:r>
          </w:p>
        </w:tc>
        <w:tc>
          <w:tcPr>
            <w:tcW w:w="675" w:type="dxa"/>
            <w:noWrap w:val="0"/>
            <w:vAlign w:val="center"/>
          </w:tcPr>
          <w:p>
            <w:pPr>
              <w:jc w:val="center"/>
              <w:rPr>
                <w:rFonts w:hint="eastAsia"/>
                <w:sz w:val="24"/>
                <w:szCs w:val="24"/>
              </w:rPr>
            </w:pPr>
            <w:r>
              <w:rPr>
                <w:rFonts w:hint="eastAsia"/>
                <w:sz w:val="24"/>
                <w:szCs w:val="24"/>
              </w:rPr>
              <w:t>QQ</w:t>
            </w:r>
          </w:p>
        </w:tc>
        <w:tc>
          <w:tcPr>
            <w:tcW w:w="2030" w:type="dxa"/>
            <w:noWrap w:val="0"/>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77" w:type="dxa"/>
            <w:vMerge w:val="continue"/>
            <w:noWrap w:val="0"/>
            <w:vAlign w:val="center"/>
          </w:tcPr>
          <w:p>
            <w:pPr>
              <w:jc w:val="center"/>
              <w:rPr>
                <w:rFonts w:hint="eastAsia"/>
                <w:sz w:val="24"/>
                <w:szCs w:val="24"/>
              </w:rPr>
            </w:pPr>
          </w:p>
        </w:tc>
        <w:tc>
          <w:tcPr>
            <w:tcW w:w="1178" w:type="dxa"/>
            <w:noWrap w:val="0"/>
            <w:vAlign w:val="center"/>
          </w:tcPr>
          <w:p>
            <w:pPr>
              <w:jc w:val="both"/>
              <w:rPr>
                <w:rFonts w:hint="eastAsia"/>
                <w:sz w:val="24"/>
                <w:szCs w:val="24"/>
              </w:rPr>
            </w:pPr>
          </w:p>
        </w:tc>
        <w:tc>
          <w:tcPr>
            <w:tcW w:w="530" w:type="dxa"/>
            <w:noWrap w:val="0"/>
            <w:vAlign w:val="center"/>
          </w:tcPr>
          <w:p>
            <w:pPr>
              <w:jc w:val="center"/>
              <w:rPr>
                <w:rFonts w:hint="eastAsia"/>
                <w:sz w:val="24"/>
                <w:szCs w:val="24"/>
              </w:rPr>
            </w:pPr>
          </w:p>
        </w:tc>
        <w:tc>
          <w:tcPr>
            <w:tcW w:w="885" w:type="dxa"/>
            <w:noWrap w:val="0"/>
            <w:vAlign w:val="center"/>
          </w:tcPr>
          <w:p>
            <w:pPr>
              <w:jc w:val="both"/>
              <w:rPr>
                <w:rFonts w:hint="eastAsia"/>
                <w:sz w:val="24"/>
                <w:szCs w:val="24"/>
              </w:rPr>
            </w:pPr>
          </w:p>
        </w:tc>
        <w:tc>
          <w:tcPr>
            <w:tcW w:w="1750" w:type="dxa"/>
            <w:noWrap w:val="0"/>
            <w:vAlign w:val="center"/>
          </w:tcPr>
          <w:p>
            <w:pPr>
              <w:jc w:val="both"/>
              <w:rPr>
                <w:rFonts w:hint="eastAsia"/>
                <w:sz w:val="24"/>
                <w:szCs w:val="24"/>
              </w:rPr>
            </w:pPr>
          </w:p>
        </w:tc>
        <w:tc>
          <w:tcPr>
            <w:tcW w:w="1620" w:type="dxa"/>
            <w:noWrap w:val="0"/>
            <w:vAlign w:val="center"/>
          </w:tcPr>
          <w:p>
            <w:pPr>
              <w:jc w:val="center"/>
              <w:rPr>
                <w:rFonts w:hint="eastAsia"/>
                <w:sz w:val="24"/>
                <w:szCs w:val="24"/>
              </w:rPr>
            </w:pPr>
          </w:p>
        </w:tc>
        <w:tc>
          <w:tcPr>
            <w:tcW w:w="675" w:type="dxa"/>
            <w:noWrap w:val="0"/>
            <w:vAlign w:val="center"/>
          </w:tcPr>
          <w:p>
            <w:pPr>
              <w:jc w:val="center"/>
              <w:rPr>
                <w:rFonts w:hint="eastAsia"/>
                <w:sz w:val="24"/>
                <w:szCs w:val="24"/>
              </w:rPr>
            </w:pPr>
            <w:r>
              <w:rPr>
                <w:rFonts w:hint="eastAsia" w:ascii="仿宋_GB2312" w:hAnsi="仿宋_GB2312" w:eastAsia="仿宋_GB2312" w:cs="仿宋_GB2312"/>
                <w:sz w:val="24"/>
                <w:szCs w:val="24"/>
              </w:rPr>
              <w:t>邮箱</w:t>
            </w:r>
          </w:p>
        </w:tc>
        <w:tc>
          <w:tcPr>
            <w:tcW w:w="2030" w:type="dxa"/>
            <w:noWrap w:val="0"/>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77" w:type="dxa"/>
            <w:vMerge w:val="restart"/>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w:t>
            </w:r>
          </w:p>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w:t>
            </w:r>
          </w:p>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老</w:t>
            </w:r>
          </w:p>
          <w:p>
            <w:pPr>
              <w:jc w:val="center"/>
              <w:rPr>
                <w:rFonts w:hint="eastAsia" w:ascii="仿宋_GB2312" w:hAnsi="仿宋_GB2312" w:eastAsia="仿宋_GB2312" w:cs="仿宋_GB2312"/>
                <w:sz w:val="24"/>
                <w:szCs w:val="24"/>
              </w:rPr>
            </w:pPr>
          </w:p>
          <w:p>
            <w:pPr>
              <w:jc w:val="center"/>
              <w:rPr>
                <w:rFonts w:hint="eastAsia"/>
                <w:sz w:val="24"/>
                <w:szCs w:val="24"/>
              </w:rPr>
            </w:pPr>
            <w:r>
              <w:rPr>
                <w:rFonts w:hint="eastAsia" w:ascii="仿宋_GB2312" w:hAnsi="仿宋_GB2312" w:eastAsia="仿宋_GB2312" w:cs="仿宋_GB2312"/>
                <w:sz w:val="24"/>
                <w:szCs w:val="24"/>
              </w:rPr>
              <w:t>师</w:t>
            </w:r>
          </w:p>
        </w:tc>
        <w:tc>
          <w:tcPr>
            <w:tcW w:w="1178" w:type="dxa"/>
            <w:noWrap w:val="0"/>
            <w:vAlign w:val="center"/>
          </w:tcPr>
          <w:p>
            <w:pPr>
              <w:jc w:val="center"/>
              <w:rPr>
                <w:rFonts w:hint="eastAsia" w:eastAsia="宋体"/>
                <w:sz w:val="24"/>
                <w:szCs w:val="24"/>
                <w:lang w:val="en-US" w:eastAsia="zh-CN"/>
              </w:rPr>
            </w:pPr>
          </w:p>
        </w:tc>
        <w:tc>
          <w:tcPr>
            <w:tcW w:w="530" w:type="dxa"/>
            <w:noWrap w:val="0"/>
            <w:vAlign w:val="center"/>
          </w:tcPr>
          <w:p>
            <w:pPr>
              <w:jc w:val="center"/>
              <w:rPr>
                <w:rFonts w:hint="eastAsia"/>
                <w:sz w:val="24"/>
                <w:szCs w:val="24"/>
              </w:rPr>
            </w:pPr>
          </w:p>
        </w:tc>
        <w:tc>
          <w:tcPr>
            <w:tcW w:w="885" w:type="dxa"/>
            <w:noWrap w:val="0"/>
            <w:vAlign w:val="center"/>
          </w:tcPr>
          <w:p>
            <w:pPr>
              <w:jc w:val="both"/>
              <w:rPr>
                <w:rFonts w:hint="eastAsia" w:eastAsia="宋体"/>
                <w:sz w:val="24"/>
                <w:szCs w:val="24"/>
                <w:lang w:val="en-US" w:eastAsia="zh-CN"/>
              </w:rPr>
            </w:pPr>
          </w:p>
        </w:tc>
        <w:tc>
          <w:tcPr>
            <w:tcW w:w="1750" w:type="dxa"/>
            <w:noWrap w:val="0"/>
            <w:vAlign w:val="center"/>
          </w:tcPr>
          <w:p>
            <w:pPr>
              <w:jc w:val="both"/>
              <w:rPr>
                <w:rFonts w:hint="eastAsia" w:eastAsia="宋体"/>
                <w:sz w:val="24"/>
                <w:szCs w:val="24"/>
                <w:lang w:val="en-US" w:eastAsia="zh-CN"/>
              </w:rPr>
            </w:pPr>
          </w:p>
        </w:tc>
        <w:tc>
          <w:tcPr>
            <w:tcW w:w="1620" w:type="dxa"/>
            <w:noWrap w:val="0"/>
            <w:vAlign w:val="center"/>
          </w:tcPr>
          <w:p>
            <w:pPr>
              <w:jc w:val="both"/>
              <w:rPr>
                <w:rFonts w:hint="eastAsia" w:eastAsia="宋体"/>
                <w:sz w:val="24"/>
                <w:szCs w:val="24"/>
                <w:lang w:val="en-US" w:eastAsia="zh-CN"/>
              </w:rPr>
            </w:pPr>
          </w:p>
        </w:tc>
        <w:tc>
          <w:tcPr>
            <w:tcW w:w="2705" w:type="dxa"/>
            <w:gridSpan w:val="2"/>
            <w:noWrap w:val="0"/>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77" w:type="dxa"/>
            <w:vMerge w:val="continue"/>
            <w:noWrap w:val="0"/>
            <w:vAlign w:val="center"/>
          </w:tcPr>
          <w:p>
            <w:pPr>
              <w:jc w:val="center"/>
              <w:rPr>
                <w:rFonts w:hint="eastAsia"/>
                <w:sz w:val="24"/>
                <w:szCs w:val="24"/>
              </w:rPr>
            </w:pPr>
          </w:p>
        </w:tc>
        <w:tc>
          <w:tcPr>
            <w:tcW w:w="1178" w:type="dxa"/>
            <w:noWrap w:val="0"/>
            <w:vAlign w:val="center"/>
          </w:tcPr>
          <w:p>
            <w:pPr>
              <w:jc w:val="both"/>
              <w:rPr>
                <w:rFonts w:hint="eastAsia" w:eastAsia="宋体"/>
                <w:sz w:val="24"/>
                <w:szCs w:val="24"/>
                <w:lang w:val="en-US" w:eastAsia="zh-CN"/>
              </w:rPr>
            </w:pPr>
          </w:p>
        </w:tc>
        <w:tc>
          <w:tcPr>
            <w:tcW w:w="530" w:type="dxa"/>
            <w:noWrap w:val="0"/>
            <w:vAlign w:val="center"/>
          </w:tcPr>
          <w:p>
            <w:pPr>
              <w:jc w:val="center"/>
              <w:rPr>
                <w:rFonts w:hint="eastAsia"/>
                <w:sz w:val="24"/>
                <w:szCs w:val="24"/>
              </w:rPr>
            </w:pPr>
          </w:p>
        </w:tc>
        <w:tc>
          <w:tcPr>
            <w:tcW w:w="885" w:type="dxa"/>
            <w:noWrap w:val="0"/>
            <w:vAlign w:val="center"/>
          </w:tcPr>
          <w:p>
            <w:pPr>
              <w:jc w:val="both"/>
              <w:rPr>
                <w:rFonts w:hint="eastAsia" w:eastAsia="宋体"/>
                <w:sz w:val="24"/>
                <w:szCs w:val="24"/>
                <w:lang w:val="en-US" w:eastAsia="zh-CN"/>
              </w:rPr>
            </w:pPr>
          </w:p>
        </w:tc>
        <w:tc>
          <w:tcPr>
            <w:tcW w:w="1750" w:type="dxa"/>
            <w:noWrap w:val="0"/>
            <w:vAlign w:val="center"/>
          </w:tcPr>
          <w:p>
            <w:pPr>
              <w:jc w:val="both"/>
              <w:rPr>
                <w:rFonts w:hint="eastAsia" w:eastAsia="宋体"/>
                <w:sz w:val="24"/>
                <w:szCs w:val="24"/>
                <w:lang w:val="en-US" w:eastAsia="zh-CN"/>
              </w:rPr>
            </w:pPr>
          </w:p>
        </w:tc>
        <w:tc>
          <w:tcPr>
            <w:tcW w:w="1620" w:type="dxa"/>
            <w:noWrap w:val="0"/>
            <w:vAlign w:val="center"/>
          </w:tcPr>
          <w:p>
            <w:pPr>
              <w:jc w:val="both"/>
              <w:rPr>
                <w:rFonts w:hint="eastAsia" w:eastAsia="宋体"/>
                <w:sz w:val="24"/>
                <w:szCs w:val="24"/>
                <w:lang w:val="en-US" w:eastAsia="zh-CN"/>
              </w:rPr>
            </w:pPr>
          </w:p>
        </w:tc>
        <w:tc>
          <w:tcPr>
            <w:tcW w:w="2705" w:type="dxa"/>
            <w:gridSpan w:val="2"/>
            <w:noWrap w:val="0"/>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77" w:type="dxa"/>
            <w:vMerge w:val="continue"/>
            <w:noWrap w:val="0"/>
            <w:vAlign w:val="center"/>
          </w:tcPr>
          <w:p>
            <w:pPr>
              <w:jc w:val="center"/>
              <w:rPr>
                <w:rFonts w:hint="eastAsia"/>
                <w:sz w:val="24"/>
                <w:szCs w:val="24"/>
              </w:rPr>
            </w:pPr>
          </w:p>
        </w:tc>
        <w:tc>
          <w:tcPr>
            <w:tcW w:w="1178" w:type="dxa"/>
            <w:noWrap w:val="0"/>
            <w:vAlign w:val="center"/>
          </w:tcPr>
          <w:p>
            <w:pPr>
              <w:jc w:val="both"/>
              <w:rPr>
                <w:rFonts w:hint="eastAsia"/>
                <w:sz w:val="24"/>
                <w:szCs w:val="24"/>
              </w:rPr>
            </w:pPr>
          </w:p>
        </w:tc>
        <w:tc>
          <w:tcPr>
            <w:tcW w:w="530" w:type="dxa"/>
            <w:noWrap w:val="0"/>
            <w:vAlign w:val="center"/>
          </w:tcPr>
          <w:p>
            <w:pPr>
              <w:jc w:val="center"/>
              <w:rPr>
                <w:rFonts w:hint="eastAsia"/>
                <w:sz w:val="24"/>
                <w:szCs w:val="24"/>
              </w:rPr>
            </w:pPr>
          </w:p>
        </w:tc>
        <w:tc>
          <w:tcPr>
            <w:tcW w:w="885" w:type="dxa"/>
            <w:noWrap w:val="0"/>
            <w:vAlign w:val="center"/>
          </w:tcPr>
          <w:p>
            <w:pPr>
              <w:jc w:val="both"/>
              <w:rPr>
                <w:rFonts w:hint="eastAsia"/>
                <w:sz w:val="24"/>
                <w:szCs w:val="24"/>
              </w:rPr>
            </w:pPr>
          </w:p>
        </w:tc>
        <w:tc>
          <w:tcPr>
            <w:tcW w:w="1750" w:type="dxa"/>
            <w:noWrap w:val="0"/>
            <w:vAlign w:val="center"/>
          </w:tcPr>
          <w:p>
            <w:pPr>
              <w:jc w:val="center"/>
              <w:rPr>
                <w:rFonts w:hint="eastAsia"/>
                <w:sz w:val="24"/>
                <w:szCs w:val="24"/>
              </w:rPr>
            </w:pPr>
          </w:p>
        </w:tc>
        <w:tc>
          <w:tcPr>
            <w:tcW w:w="1620" w:type="dxa"/>
            <w:noWrap w:val="0"/>
            <w:vAlign w:val="center"/>
          </w:tcPr>
          <w:p>
            <w:pPr>
              <w:jc w:val="both"/>
              <w:rPr>
                <w:rFonts w:hint="eastAsia"/>
                <w:sz w:val="24"/>
                <w:szCs w:val="24"/>
              </w:rPr>
            </w:pPr>
          </w:p>
        </w:tc>
        <w:tc>
          <w:tcPr>
            <w:tcW w:w="2705" w:type="dxa"/>
            <w:gridSpan w:val="2"/>
            <w:noWrap w:val="0"/>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77" w:type="dxa"/>
            <w:vMerge w:val="continue"/>
            <w:noWrap w:val="0"/>
            <w:vAlign w:val="center"/>
          </w:tcPr>
          <w:p>
            <w:pPr>
              <w:jc w:val="center"/>
              <w:rPr>
                <w:rFonts w:hint="eastAsia"/>
                <w:sz w:val="24"/>
                <w:szCs w:val="24"/>
              </w:rPr>
            </w:pPr>
          </w:p>
        </w:tc>
        <w:tc>
          <w:tcPr>
            <w:tcW w:w="1178" w:type="dxa"/>
            <w:noWrap w:val="0"/>
            <w:vAlign w:val="center"/>
          </w:tcPr>
          <w:p>
            <w:pPr>
              <w:jc w:val="center"/>
              <w:rPr>
                <w:rFonts w:hint="eastAsia"/>
                <w:sz w:val="24"/>
                <w:szCs w:val="24"/>
              </w:rPr>
            </w:pPr>
          </w:p>
        </w:tc>
        <w:tc>
          <w:tcPr>
            <w:tcW w:w="530" w:type="dxa"/>
            <w:noWrap w:val="0"/>
            <w:vAlign w:val="center"/>
          </w:tcPr>
          <w:p>
            <w:pPr>
              <w:jc w:val="center"/>
              <w:rPr>
                <w:rFonts w:hint="eastAsia"/>
                <w:sz w:val="24"/>
                <w:szCs w:val="24"/>
              </w:rPr>
            </w:pPr>
          </w:p>
        </w:tc>
        <w:tc>
          <w:tcPr>
            <w:tcW w:w="885" w:type="dxa"/>
            <w:noWrap w:val="0"/>
            <w:vAlign w:val="center"/>
          </w:tcPr>
          <w:p>
            <w:pPr>
              <w:jc w:val="center"/>
              <w:rPr>
                <w:rFonts w:hint="eastAsia"/>
                <w:sz w:val="24"/>
                <w:szCs w:val="24"/>
              </w:rPr>
            </w:pPr>
          </w:p>
        </w:tc>
        <w:tc>
          <w:tcPr>
            <w:tcW w:w="1750" w:type="dxa"/>
            <w:noWrap w:val="0"/>
            <w:vAlign w:val="center"/>
          </w:tcPr>
          <w:p>
            <w:pPr>
              <w:jc w:val="center"/>
              <w:rPr>
                <w:rFonts w:hint="eastAsia"/>
                <w:sz w:val="24"/>
                <w:szCs w:val="24"/>
              </w:rPr>
            </w:pPr>
          </w:p>
        </w:tc>
        <w:tc>
          <w:tcPr>
            <w:tcW w:w="1620" w:type="dxa"/>
            <w:noWrap w:val="0"/>
            <w:vAlign w:val="center"/>
          </w:tcPr>
          <w:p>
            <w:pPr>
              <w:jc w:val="center"/>
              <w:rPr>
                <w:rFonts w:hint="eastAsia"/>
                <w:sz w:val="24"/>
                <w:szCs w:val="24"/>
              </w:rPr>
            </w:pPr>
          </w:p>
        </w:tc>
        <w:tc>
          <w:tcPr>
            <w:tcW w:w="2705" w:type="dxa"/>
            <w:gridSpan w:val="2"/>
            <w:noWrap w:val="0"/>
            <w:vAlign w:val="center"/>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977"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建议与</w:t>
            </w:r>
          </w:p>
          <w:p>
            <w:pPr>
              <w:jc w:val="center"/>
              <w:rPr>
                <w:rFonts w:hint="eastAsia"/>
                <w:sz w:val="24"/>
                <w:szCs w:val="24"/>
              </w:rPr>
            </w:pPr>
            <w:r>
              <w:rPr>
                <w:rFonts w:hint="eastAsia" w:ascii="仿宋_GB2312" w:hAnsi="仿宋_GB2312" w:eastAsia="仿宋_GB2312" w:cs="仿宋_GB2312"/>
                <w:sz w:val="24"/>
                <w:szCs w:val="24"/>
              </w:rPr>
              <w:t>征询</w:t>
            </w:r>
          </w:p>
        </w:tc>
        <w:tc>
          <w:tcPr>
            <w:tcW w:w="8668" w:type="dxa"/>
            <w:gridSpan w:val="7"/>
            <w:noWrap w:val="0"/>
            <w:vAlign w:val="center"/>
          </w:tcPr>
          <w:p>
            <w:pPr>
              <w:rPr>
                <w:rFonts w:hint="eastAsia"/>
                <w:sz w:val="24"/>
                <w:szCs w:val="24"/>
              </w:rPr>
            </w:pPr>
            <w:r>
              <w:rPr>
                <w:rFonts w:hint="eastAsia" w:ascii="仿宋_GB2312" w:eastAsia="仿宋_GB2312" w:cs="仿宋_GB2312"/>
                <w:sz w:val="24"/>
              </w:rPr>
              <w:t>对</w:t>
            </w:r>
            <w:r>
              <w:rPr>
                <w:rFonts w:hint="eastAsia" w:ascii="仿宋_GB2312" w:eastAsia="仿宋_GB2312" w:cs="仿宋_GB2312"/>
                <w:sz w:val="24"/>
                <w:lang w:eastAsia="zh-CN"/>
              </w:rPr>
              <w:t>活动</w:t>
            </w:r>
            <w:r>
              <w:rPr>
                <w:rFonts w:hint="eastAsia" w:ascii="仿宋_GB2312" w:eastAsia="仿宋_GB2312" w:cs="仿宋_GB2312"/>
                <w:sz w:val="24"/>
              </w:rPr>
              <w:t>议题的建议及发言材料：（可另附纸传真至会务组，或电子版发至报名邮箱）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977" w:type="dxa"/>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是否参加评选表彰</w:t>
            </w:r>
          </w:p>
        </w:tc>
        <w:tc>
          <w:tcPr>
            <w:tcW w:w="8668" w:type="dxa"/>
            <w:gridSpan w:val="7"/>
            <w:noWrap w:val="0"/>
            <w:vAlign w:val="center"/>
          </w:tcPr>
          <w:p>
            <w:pPr>
              <w:rPr>
                <w:rFonts w:hint="default" w:ascii="仿宋_GB2312" w:eastAsia="仿宋_GB2312" w:cs="仿宋_GB2312"/>
                <w:sz w:val="24"/>
                <w:lang w:val="en-US" w:eastAsia="zh-CN"/>
              </w:rPr>
            </w:pPr>
            <w:r>
              <w:rPr>
                <w:rFonts w:hint="eastAsia" w:ascii="仿宋_GB2312" w:eastAsia="仿宋_GB2312" w:cs="仿宋_GB2312"/>
                <w:sz w:val="24"/>
                <w:lang w:eastAsia="zh-CN"/>
              </w:rPr>
              <w:t>先进单位</w:t>
            </w:r>
            <w:r>
              <w:rPr>
                <w:rFonts w:hint="eastAsia" w:ascii="仿宋_GB2312" w:eastAsia="仿宋_GB2312" w:cs="仿宋_GB2312"/>
                <w:sz w:val="24"/>
                <w:lang w:val="en-US" w:eastAsia="zh-CN"/>
              </w:rPr>
              <w:t xml:space="preserve">     先进个人       论文    教学设计    不参加  （打</w:t>
            </w:r>
            <w:r>
              <w:rPr>
                <w:rFonts w:hint="default" w:ascii="Arial" w:hAnsi="Arial" w:eastAsia="仿宋_GB2312" w:cs="Arial"/>
                <w:sz w:val="24"/>
                <w:lang w:val="en-US" w:eastAsia="zh-CN"/>
              </w:rPr>
              <w:t>√</w:t>
            </w:r>
            <w:r>
              <w:rPr>
                <w:rFonts w:hint="eastAsia" w:ascii="仿宋_GB2312" w:eastAsia="仿宋_GB2312" w:cs="仿宋_GB2312"/>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77"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汇款</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方式</w:t>
            </w:r>
          </w:p>
        </w:tc>
        <w:tc>
          <w:tcPr>
            <w:tcW w:w="8668" w:type="dxa"/>
            <w:gridSpan w:val="7"/>
            <w:noWrap w:val="0"/>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开户银行：中国工商银行北京房山支行良乡分理处</w:t>
            </w:r>
          </w:p>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帐户名称：北京成长智慧教育科技有限公司  </w:t>
            </w:r>
          </w:p>
          <w:p>
            <w:pPr>
              <w:rPr>
                <w:rFonts w:hint="eastAsia" w:ascii="仿宋_GB2312" w:eastAsia="仿宋_GB2312" w:cs="仿宋_GB2312"/>
                <w:sz w:val="24"/>
              </w:rPr>
            </w:pPr>
            <w:r>
              <w:rPr>
                <w:rFonts w:hint="eastAsia" w:ascii="仿宋_GB2312" w:hAnsi="仿宋_GB2312" w:eastAsia="仿宋_GB2312" w:cs="仿宋_GB2312"/>
                <w:sz w:val="24"/>
              </w:rPr>
              <w:t xml:space="preserve">帐    号：0200 3169 0920 0012 149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977"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住宿</w:t>
            </w:r>
          </w:p>
          <w:p>
            <w:pPr>
              <w:jc w:val="center"/>
              <w:rPr>
                <w:rFonts w:hint="eastAsia"/>
                <w:sz w:val="24"/>
                <w:szCs w:val="24"/>
              </w:rPr>
            </w:pPr>
            <w:r>
              <w:rPr>
                <w:rFonts w:hint="eastAsia" w:ascii="仿宋_GB2312" w:hAnsi="仿宋_GB2312" w:eastAsia="仿宋_GB2312" w:cs="仿宋_GB2312"/>
                <w:sz w:val="24"/>
                <w:szCs w:val="24"/>
              </w:rPr>
              <w:t>要求</w:t>
            </w:r>
          </w:p>
        </w:tc>
        <w:tc>
          <w:tcPr>
            <w:tcW w:w="8668" w:type="dxa"/>
            <w:gridSpan w:val="7"/>
            <w:noWrap w:val="0"/>
            <w:vAlign w:val="center"/>
          </w:tcPr>
          <w:p>
            <w:pPr>
              <w:spacing w:line="360" w:lineRule="auto"/>
              <w:rPr>
                <w:rFonts w:hint="eastAsia" w:ascii="仿宋_GB2312" w:eastAsia="仿宋_GB2312" w:cs="仿宋_GB2312"/>
                <w:sz w:val="24"/>
                <w:lang w:val="en-US" w:eastAsia="zh-CN"/>
              </w:rPr>
            </w:pPr>
            <w:r>
              <w:rPr>
                <w:rFonts w:hint="eastAsia" w:ascii="仿宋_GB2312" w:eastAsia="仿宋_GB2312" w:cs="仿宋_GB2312"/>
                <w:sz w:val="24"/>
              </w:rPr>
              <w:t>会议地点：</w:t>
            </w:r>
            <w:r>
              <w:rPr>
                <w:rFonts w:hint="eastAsia" w:ascii="仿宋_GB2312" w:eastAsia="仿宋_GB2312" w:cs="仿宋_GB2312"/>
                <w:sz w:val="24"/>
                <w:lang w:eastAsia="zh-CN"/>
              </w:rPr>
              <w:t>杭州</w:t>
            </w:r>
          </w:p>
          <w:p>
            <w:pPr>
              <w:spacing w:line="360" w:lineRule="auto"/>
              <w:rPr>
                <w:rFonts w:ascii="仿宋_GB2312" w:eastAsia="仿宋_GB2312" w:cs="仿宋_GB2312"/>
                <w:sz w:val="24"/>
                <w:u w:val="single"/>
              </w:rPr>
            </w:pPr>
            <w:r>
              <w:rPr>
                <w:rFonts w:hint="eastAsia" w:ascii="仿宋_GB2312" w:eastAsia="仿宋_GB2312" w:cs="仿宋_GB2312"/>
                <w:sz w:val="24"/>
              </w:rPr>
              <w:t>若预定酒店，请注明：入住时间</w:t>
            </w:r>
            <w:r>
              <w:rPr>
                <w:rFonts w:ascii="仿宋_GB2312" w:eastAsia="仿宋_GB2312" w:cs="仿宋_GB2312"/>
                <w:sz w:val="24"/>
                <w:u w:val="single"/>
              </w:rPr>
              <w:t xml:space="preserve">           </w:t>
            </w:r>
            <w:r>
              <w:rPr>
                <w:rFonts w:hint="eastAsia" w:ascii="仿宋_GB2312" w:eastAsia="仿宋_GB2312" w:cs="仿宋_GB2312"/>
                <w:sz w:val="24"/>
              </w:rPr>
              <w:t>入住</w:t>
            </w:r>
            <w:r>
              <w:rPr>
                <w:rFonts w:hint="eastAsia" w:ascii="仿宋_GB2312" w:eastAsia="仿宋_GB2312" w:cs="仿宋_GB2312"/>
                <w:sz w:val="24"/>
                <w:lang w:val="en-US" w:eastAsia="zh-CN"/>
              </w:rPr>
              <w:t xml:space="preserve">  </w:t>
            </w:r>
            <w:r>
              <w:rPr>
                <w:rFonts w:hint="eastAsia" w:ascii="仿宋_GB2312" w:eastAsia="仿宋_GB2312" w:cs="仿宋_GB2312"/>
                <w:sz w:val="24"/>
              </w:rPr>
              <w:t>天数</w:t>
            </w:r>
            <w:r>
              <w:rPr>
                <w:rFonts w:ascii="仿宋_GB2312" w:eastAsia="仿宋_GB2312" w:cs="仿宋_GB2312"/>
                <w:sz w:val="24"/>
                <w:u w:val="single"/>
              </w:rPr>
              <w:t xml:space="preserve">         </w:t>
            </w:r>
          </w:p>
          <w:p>
            <w:pPr>
              <w:jc w:val="center"/>
              <w:rPr>
                <w:rFonts w:hint="eastAsia"/>
                <w:sz w:val="24"/>
                <w:szCs w:val="24"/>
              </w:rPr>
            </w:pPr>
            <w:r>
              <w:rPr>
                <w:rFonts w:hint="eastAsia" w:ascii="仿宋_GB2312" w:eastAsia="仿宋_GB2312" w:cs="仿宋_GB2312"/>
                <w:sz w:val="24"/>
              </w:rPr>
              <w:t>预定间数</w:t>
            </w:r>
            <w:r>
              <w:rPr>
                <w:rFonts w:ascii="仿宋_GB2312" w:eastAsia="仿宋_GB2312" w:cs="仿宋_GB2312"/>
                <w:sz w:val="24"/>
                <w:u w:val="single"/>
              </w:rPr>
              <w:t xml:space="preserve">        </w:t>
            </w:r>
            <w:r>
              <w:rPr>
                <w:rFonts w:hint="eastAsia" w:ascii="仿宋_GB2312" w:eastAsia="仿宋_GB2312" w:cs="仿宋_GB2312"/>
                <w:sz w:val="24"/>
              </w:rPr>
              <w:t>（预定双人间□</w:t>
            </w:r>
            <w:r>
              <w:rPr>
                <w:rFonts w:ascii="仿宋_GB2312" w:eastAsia="仿宋_GB2312" w:cs="仿宋_GB2312"/>
                <w:sz w:val="24"/>
              </w:rPr>
              <w:t>,</w:t>
            </w:r>
            <w:r>
              <w:rPr>
                <w:rFonts w:hint="eastAsia" w:ascii="仿宋_GB2312" w:eastAsia="仿宋_GB2312" w:cs="仿宋_GB2312"/>
                <w:sz w:val="24"/>
              </w:rPr>
              <w:t>单人间□，可否合住□）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977"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jc w:val="center"/>
              <w:rPr>
                <w:rFonts w:hint="eastAsia"/>
                <w:sz w:val="24"/>
                <w:szCs w:val="24"/>
              </w:rPr>
            </w:pPr>
            <w:r>
              <w:rPr>
                <w:rFonts w:hint="eastAsia" w:ascii="仿宋_GB2312" w:hAnsi="仿宋_GB2312" w:eastAsia="仿宋_GB2312" w:cs="仿宋_GB2312"/>
                <w:sz w:val="24"/>
                <w:szCs w:val="24"/>
              </w:rPr>
              <w:t>意见</w:t>
            </w:r>
          </w:p>
        </w:tc>
        <w:tc>
          <w:tcPr>
            <w:tcW w:w="8668" w:type="dxa"/>
            <w:gridSpan w:val="7"/>
            <w:noWrap w:val="0"/>
            <w:vAlign w:val="center"/>
          </w:tcPr>
          <w:p>
            <w:pPr>
              <w:jc w:val="left"/>
              <w:rPr>
                <w:rFonts w:hint="eastAsia" w:ascii="仿宋_GB2312" w:eastAsia="仿宋_GB2312" w:cs="仿宋_GB2312"/>
                <w:sz w:val="24"/>
                <w:szCs w:val="22"/>
              </w:rPr>
            </w:pPr>
            <w:r>
              <w:rPr>
                <w:rFonts w:hint="eastAsia" w:ascii="仿宋_GB2312" w:hAnsi="仿宋_GB2312" w:eastAsia="仿宋_GB2312" w:cs="仿宋_GB2312"/>
                <w:szCs w:val="21"/>
              </w:rPr>
              <w:t xml:space="preserve">    </w:t>
            </w:r>
            <w:r>
              <w:rPr>
                <w:rFonts w:hint="eastAsia" w:ascii="仿宋_GB2312" w:eastAsia="仿宋_GB2312" w:cs="仿宋_GB2312"/>
                <w:sz w:val="24"/>
              </w:rPr>
              <w:t xml:space="preserve">我单位同意选派以上老师参加 </w:t>
            </w:r>
            <w:r>
              <w:rPr>
                <w:rFonts w:hint="eastAsia" w:ascii="仿宋_GB2312" w:eastAsia="仿宋_GB2312" w:cs="仿宋_GB2312"/>
                <w:sz w:val="24"/>
                <w:lang w:val="en-US" w:eastAsia="zh-CN"/>
              </w:rPr>
              <w:t>12</w:t>
            </w:r>
            <w:r>
              <w:rPr>
                <w:rFonts w:hint="eastAsia" w:ascii="仿宋_GB2312" w:eastAsia="仿宋_GB2312" w:cs="仿宋_GB2312"/>
                <w:sz w:val="24"/>
              </w:rPr>
              <w:t xml:space="preserve">月 </w:t>
            </w:r>
            <w:r>
              <w:rPr>
                <w:rFonts w:hint="eastAsia" w:ascii="仿宋_GB2312" w:eastAsia="仿宋_GB2312" w:cs="仿宋_GB2312"/>
                <w:sz w:val="24"/>
                <w:lang w:val="en-US" w:eastAsia="zh-CN"/>
              </w:rPr>
              <w:t>6</w:t>
            </w:r>
            <w:r>
              <w:rPr>
                <w:rFonts w:hint="eastAsia" w:ascii="仿宋_GB2312" w:eastAsia="仿宋_GB2312" w:cs="仿宋_GB2312"/>
                <w:sz w:val="24"/>
              </w:rPr>
              <w:t>日</w:t>
            </w:r>
            <w:r>
              <w:rPr>
                <w:rFonts w:hint="eastAsia" w:ascii="仿宋_GB2312" w:eastAsia="仿宋_GB2312" w:cs="仿宋_GB2312"/>
                <w:sz w:val="24"/>
                <w:szCs w:val="22"/>
              </w:rPr>
              <w:t>“</w:t>
            </w:r>
            <w:r>
              <w:rPr>
                <w:rFonts w:hint="eastAsia" w:ascii="仿宋_GB2312" w:eastAsia="仿宋_GB2312" w:cs="仿宋_GB2312"/>
                <w:sz w:val="24"/>
              </w:rPr>
              <w:t>首届全国中学生涯规划教育学术年会</w:t>
            </w:r>
            <w:r>
              <w:rPr>
                <w:rFonts w:hint="eastAsia" w:ascii="仿宋_GB2312" w:eastAsia="仿宋_GB2312" w:cs="仿宋_GB2312"/>
                <w:sz w:val="24"/>
                <w:szCs w:val="22"/>
              </w:rPr>
              <w:t>”</w:t>
            </w:r>
            <w:r>
              <w:rPr>
                <w:rFonts w:hint="eastAsia" w:ascii="仿宋_GB2312" w:eastAsia="仿宋_GB2312" w:cs="仿宋_GB2312"/>
                <w:sz w:val="24"/>
                <w:szCs w:val="22"/>
                <w:lang w:eastAsia="zh-CN"/>
              </w:rPr>
              <w:t>活动</w:t>
            </w:r>
            <w:r>
              <w:rPr>
                <w:rFonts w:hint="eastAsia" w:ascii="仿宋_GB2312" w:eastAsia="仿宋_GB2312" w:cs="仿宋_GB2312"/>
                <w:sz w:val="24"/>
                <w:szCs w:val="22"/>
              </w:rPr>
              <w:t>。</w:t>
            </w:r>
          </w:p>
          <w:p>
            <w:pPr>
              <w:jc w:val="left"/>
              <w:rPr>
                <w:rFonts w:hint="eastAsia" w:ascii="仿宋_GB2312" w:eastAsia="仿宋_GB2312" w:cs="仿宋_GB2312"/>
                <w:sz w:val="24"/>
              </w:rPr>
            </w:pPr>
            <w:r>
              <w:rPr>
                <w:rFonts w:hint="eastAsia" w:ascii="仿宋_GB2312" w:eastAsia="仿宋_GB2312" w:cs="仿宋_GB2312"/>
                <w:sz w:val="24"/>
              </w:rPr>
              <w:t xml:space="preserve">                                       单位盖章</w:t>
            </w:r>
          </w:p>
          <w:p>
            <w:pPr>
              <w:jc w:val="left"/>
              <w:rPr>
                <w:rFonts w:hint="eastAsia"/>
                <w:szCs w:val="21"/>
              </w:rPr>
            </w:pPr>
            <w:r>
              <w:rPr>
                <w:rFonts w:hint="eastAsia" w:ascii="仿宋_GB2312" w:eastAsia="仿宋_GB2312" w:cs="仿宋_GB2312"/>
                <w:sz w:val="24"/>
              </w:rPr>
              <w:t xml:space="preserve">                                     </w:t>
            </w:r>
            <w:r>
              <w:rPr>
                <w:rFonts w:hint="eastAsia" w:ascii="仿宋_GB2312" w:eastAsia="仿宋_GB2312" w:cs="仿宋_GB2312"/>
                <w:sz w:val="24"/>
                <w:lang w:val="en-US" w:eastAsia="zh-CN"/>
              </w:rPr>
              <w:t>2019</w:t>
            </w:r>
            <w:r>
              <w:rPr>
                <w:rFonts w:hint="eastAsia" w:ascii="仿宋_GB2312" w:eastAsia="仿宋_GB2312" w:cs="仿宋_GB2312"/>
                <w:sz w:val="24"/>
              </w:rPr>
              <w:t xml:space="preserve"> 年 </w:t>
            </w:r>
            <w:r>
              <w:rPr>
                <w:rFonts w:hint="eastAsia" w:ascii="仿宋_GB2312" w:eastAsia="仿宋_GB2312" w:cs="仿宋_GB2312"/>
                <w:sz w:val="24"/>
                <w:lang w:val="en-US" w:eastAsia="zh-CN"/>
              </w:rPr>
              <w:t xml:space="preserve"> </w:t>
            </w:r>
            <w:r>
              <w:rPr>
                <w:rFonts w:hint="eastAsia" w:ascii="仿宋_GB2312" w:eastAsia="仿宋_GB2312" w:cs="仿宋_GB2312"/>
                <w:sz w:val="24"/>
              </w:rPr>
              <w:t xml:space="preserve">月 </w:t>
            </w:r>
            <w:r>
              <w:rPr>
                <w:rFonts w:hint="eastAsia" w:ascii="仿宋_GB2312" w:eastAsia="仿宋_GB2312" w:cs="仿宋_GB2312"/>
                <w:sz w:val="24"/>
                <w:lang w:val="en-US" w:eastAsia="zh-CN"/>
              </w:rPr>
              <w:t xml:space="preserve"> </w:t>
            </w:r>
            <w:r>
              <w:rPr>
                <w:rFonts w:hint="eastAsia" w:ascii="仿宋_GB2312" w:eastAsia="仿宋_GB2312" w:cs="仿宋_GB2312"/>
                <w:sz w:val="24"/>
              </w:rPr>
              <w:t xml:space="preserve">日     </w:t>
            </w:r>
            <w:r>
              <w:rPr>
                <w:rFonts w:hint="eastAsia"/>
                <w:szCs w:val="21"/>
              </w:rPr>
              <w:t xml:space="preserve">        </w:t>
            </w:r>
          </w:p>
        </w:tc>
      </w:tr>
    </w:tbl>
    <w:p>
      <w:pPr>
        <w:numPr>
          <w:ilvl w:val="0"/>
          <w:numId w:val="0"/>
        </w:numPr>
        <w:spacing w:line="240" w:lineRule="auto"/>
        <w:jc w:val="left"/>
        <w:rPr>
          <w:rFonts w:hint="eastAsia" w:ascii="仿宋_GB2312" w:hAnsi="仿宋_GB2312" w:eastAsia="仿宋_GB2312" w:cs="仿宋_GB2312"/>
          <w:color w:val="auto"/>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
    <w:altName w:val="楷体_GB2312"/>
    <w:panose1 w:val="02010609060101010101"/>
    <w:charset w:val="86"/>
    <w:family w:val="modern"/>
    <w:pitch w:val="default"/>
    <w:sig w:usb0="00000000" w:usb1="00000000" w:usb2="00000016" w:usb3="00000000" w:csb0="00040001" w:csb1="00000000"/>
  </w:font>
  <w:font w:name="仿宋">
    <w:altName w:val="微软雅黑"/>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E802CD"/>
    <w:multiLevelType w:val="singleLevel"/>
    <w:tmpl w:val="C3E802CD"/>
    <w:lvl w:ilvl="0" w:tentative="0">
      <w:start w:val="1"/>
      <w:numFmt w:val="decimal"/>
      <w:suff w:val="space"/>
      <w:lvlText w:val="%1."/>
      <w:lvlJc w:val="left"/>
    </w:lvl>
  </w:abstractNum>
  <w:abstractNum w:abstractNumId="1">
    <w:nsid w:val="CC0DA952"/>
    <w:multiLevelType w:val="singleLevel"/>
    <w:tmpl w:val="CC0DA952"/>
    <w:lvl w:ilvl="0" w:tentative="0">
      <w:start w:val="1"/>
      <w:numFmt w:val="decimal"/>
      <w:suff w:val="nothing"/>
      <w:lvlText w:val="%1、"/>
      <w:lvlJc w:val="left"/>
    </w:lvl>
  </w:abstractNum>
  <w:abstractNum w:abstractNumId="2">
    <w:nsid w:val="F103E49A"/>
    <w:multiLevelType w:val="singleLevel"/>
    <w:tmpl w:val="F103E49A"/>
    <w:lvl w:ilvl="0" w:tentative="0">
      <w:start w:val="7"/>
      <w:numFmt w:val="chineseCounting"/>
      <w:suff w:val="nothing"/>
      <w:lvlText w:val="%1、"/>
      <w:lvlJc w:val="left"/>
      <w:rPr>
        <w:rFonts w:hint="eastAsia"/>
      </w:rPr>
    </w:lvl>
  </w:abstractNum>
  <w:abstractNum w:abstractNumId="3">
    <w:nsid w:val="F801F913"/>
    <w:multiLevelType w:val="singleLevel"/>
    <w:tmpl w:val="F801F913"/>
    <w:lvl w:ilvl="0" w:tentative="0">
      <w:start w:val="1"/>
      <w:numFmt w:val="decimal"/>
      <w:suff w:val="nothing"/>
      <w:lvlText w:val="%1）"/>
      <w:lvlJc w:val="left"/>
    </w:lvl>
  </w:abstractNum>
  <w:abstractNum w:abstractNumId="4">
    <w:nsid w:val="1B541323"/>
    <w:multiLevelType w:val="multilevel"/>
    <w:tmpl w:val="1B54132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05AEAFC"/>
    <w:multiLevelType w:val="singleLevel"/>
    <w:tmpl w:val="405AEAFC"/>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B40A59"/>
    <w:rsid w:val="04B82DC1"/>
    <w:rsid w:val="070245E1"/>
    <w:rsid w:val="07516A6D"/>
    <w:rsid w:val="08BF5775"/>
    <w:rsid w:val="09800982"/>
    <w:rsid w:val="09962C61"/>
    <w:rsid w:val="0A336810"/>
    <w:rsid w:val="0B445268"/>
    <w:rsid w:val="0DE217C8"/>
    <w:rsid w:val="0F412249"/>
    <w:rsid w:val="102F0D83"/>
    <w:rsid w:val="15AC1886"/>
    <w:rsid w:val="17006554"/>
    <w:rsid w:val="18663ECC"/>
    <w:rsid w:val="1C6A7033"/>
    <w:rsid w:val="1F3D1565"/>
    <w:rsid w:val="20B017A9"/>
    <w:rsid w:val="210C227C"/>
    <w:rsid w:val="22292692"/>
    <w:rsid w:val="226605E1"/>
    <w:rsid w:val="22F01E07"/>
    <w:rsid w:val="254035B2"/>
    <w:rsid w:val="264A3FDE"/>
    <w:rsid w:val="26791411"/>
    <w:rsid w:val="28A11734"/>
    <w:rsid w:val="2AB329E7"/>
    <w:rsid w:val="2B5A6969"/>
    <w:rsid w:val="2E5F2419"/>
    <w:rsid w:val="2FF75B59"/>
    <w:rsid w:val="31912648"/>
    <w:rsid w:val="33074E47"/>
    <w:rsid w:val="33696329"/>
    <w:rsid w:val="367C1F0B"/>
    <w:rsid w:val="376B18CE"/>
    <w:rsid w:val="390E14B8"/>
    <w:rsid w:val="3A5C2C92"/>
    <w:rsid w:val="3C2978D5"/>
    <w:rsid w:val="3DA3710F"/>
    <w:rsid w:val="40A50BDE"/>
    <w:rsid w:val="44DB2BB2"/>
    <w:rsid w:val="44F002B3"/>
    <w:rsid w:val="453D5786"/>
    <w:rsid w:val="453E093C"/>
    <w:rsid w:val="46EF5DFC"/>
    <w:rsid w:val="472129D4"/>
    <w:rsid w:val="493B6192"/>
    <w:rsid w:val="4A283023"/>
    <w:rsid w:val="4C13217B"/>
    <w:rsid w:val="4E5A49DD"/>
    <w:rsid w:val="501F3D61"/>
    <w:rsid w:val="51C9741A"/>
    <w:rsid w:val="51E01A90"/>
    <w:rsid w:val="52215EE0"/>
    <w:rsid w:val="53B62214"/>
    <w:rsid w:val="569A6947"/>
    <w:rsid w:val="58D2575F"/>
    <w:rsid w:val="59EF06B3"/>
    <w:rsid w:val="5D2D114E"/>
    <w:rsid w:val="5DA23EED"/>
    <w:rsid w:val="5E196CBA"/>
    <w:rsid w:val="5EC465E1"/>
    <w:rsid w:val="60096A00"/>
    <w:rsid w:val="62EE06A8"/>
    <w:rsid w:val="632508B8"/>
    <w:rsid w:val="63F53C4A"/>
    <w:rsid w:val="68FD35CE"/>
    <w:rsid w:val="69E81CDF"/>
    <w:rsid w:val="6A29382A"/>
    <w:rsid w:val="6B86699F"/>
    <w:rsid w:val="6E5274DB"/>
    <w:rsid w:val="6F5F7A25"/>
    <w:rsid w:val="75A96048"/>
    <w:rsid w:val="781D7CE4"/>
    <w:rsid w:val="78445778"/>
    <w:rsid w:val="789B75E2"/>
    <w:rsid w:val="78A36F47"/>
    <w:rsid w:val="78C7405E"/>
    <w:rsid w:val="79B6219E"/>
    <w:rsid w:val="7C7B1311"/>
    <w:rsid w:val="7E332421"/>
    <w:rsid w:val="7EB573DF"/>
    <w:rsid w:val="7FAF26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2048</Words>
  <Characters>2074</Characters>
  <Lines>0</Lines>
  <Paragraphs>0</Paragraphs>
  <TotalTime>2</TotalTime>
  <ScaleCrop>false</ScaleCrop>
  <LinksUpToDate>false</LinksUpToDate>
  <CharactersWithSpaces>2244</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2019-11-14T06:55:28Z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