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distribute"/>
        <w:rPr>
          <w:rFonts w:hint="eastAsia" w:ascii="楷体" w:hAnsi="楷体" w:eastAsia="楷体" w:cs="楷体"/>
          <w:b/>
          <w:bCs/>
          <w:color w:val="FF0000"/>
          <w:sz w:val="56"/>
          <w:szCs w:val="56"/>
          <w:lang w:eastAsia="zh-CN"/>
        </w:rPr>
      </w:pPr>
      <w:r>
        <w:rPr>
          <w:rFonts w:hint="eastAsia" w:ascii="楷体" w:hAnsi="楷体" w:eastAsia="楷体" w:cs="楷体"/>
          <w:b/>
          <w:bCs/>
          <w:color w:val="FF0000"/>
          <w:sz w:val="56"/>
          <w:szCs w:val="56"/>
          <w:lang w:eastAsia="zh-CN"/>
        </w:rPr>
        <w:t>中国学校生涯规划教育网</w:t>
      </w:r>
    </w:p>
    <w:p>
      <w:pPr>
        <w:autoSpaceDN w:val="0"/>
        <w:jc w:val="distribute"/>
        <w:rPr>
          <w:rFonts w:hint="eastAsia" w:ascii="楷体" w:hAnsi="楷体" w:eastAsia="楷体" w:cs="楷体"/>
          <w:b/>
          <w:bCs/>
          <w:color w:val="FF0000"/>
          <w:sz w:val="56"/>
          <w:szCs w:val="56"/>
          <w:lang w:val="en-US" w:eastAsia="zh-CN"/>
        </w:rPr>
      </w:pPr>
      <w:r>
        <w:rPr>
          <w:rFonts w:hint="eastAsia" w:ascii="楷体" w:hAnsi="楷体" w:eastAsia="楷体" w:cs="楷体"/>
          <w:b/>
          <w:bCs/>
          <w:color w:val="FF0000"/>
          <w:sz w:val="56"/>
          <w:szCs w:val="56"/>
          <w:lang w:val="en-US" w:eastAsia="zh-CN"/>
        </w:rPr>
        <w:t>势生涯教育</w:t>
      </w:r>
    </w:p>
    <w:p>
      <w:pPr>
        <w:autoSpaceDN w:val="0"/>
        <w:jc w:val="distribute"/>
        <w:rPr>
          <w:rFonts w:hint="default" w:ascii="楷体" w:hAnsi="楷体" w:eastAsia="楷体" w:cs="楷体"/>
          <w:b/>
          <w:bCs/>
          <w:color w:val="FF0000"/>
          <w:sz w:val="56"/>
          <w:szCs w:val="56"/>
          <w:lang w:val="en-US" w:eastAsia="zh-CN"/>
        </w:rPr>
      </w:pPr>
      <w:r>
        <w:rPr>
          <w:rFonts w:ascii="宋体" w:hAnsi="宋体"/>
          <w:b/>
          <w:bCs/>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567055</wp:posOffset>
                </wp:positionV>
                <wp:extent cx="617537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175375" cy="95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5pt;margin-top:44.65pt;height:0.75pt;width:486.25pt;z-index:251659264;mso-width-relative:page;mso-height-relative:page;" filled="f" stroked="t" coordsize="21600,21600" o:gfxdata="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p//6TWAAAACAEAAA8AAAAAAAAAAQAgAAAAIgAAAGRycy9kb3du&#10;cmV2LnhtbFBLAQIUABQAAAAIAIdO4kAy5TWKAQIAAPIDAAAOAAAAAAAAAAEAIAAAACUBAABkcnMv&#10;ZTJvRG9jLnhtbFBLBQYAAAAABgAGAFkBAACYBQAAAAA=&#10;">
                <v:fill on="f" focussize="0,0"/>
                <v:stroke weight="2pt" color="#FF0000" joinstyle="round"/>
                <v:imagedata o:title=""/>
                <o:lock v:ext="edit" aspectratio="f"/>
              </v:line>
            </w:pict>
          </mc:Fallback>
        </mc:AlternateContent>
      </w:r>
      <w:r>
        <w:rPr>
          <w:rFonts w:hint="eastAsia" w:ascii="楷体" w:hAnsi="楷体" w:eastAsia="楷体" w:cs="楷体"/>
          <w:b/>
          <w:bCs/>
          <w:color w:val="FF0000"/>
          <w:sz w:val="56"/>
          <w:szCs w:val="56"/>
          <w:lang w:val="en-US" w:eastAsia="zh-CN"/>
        </w:rPr>
        <w:t>K12基础教育生涯规划教育研究院</w:t>
      </w:r>
    </w:p>
    <w:p>
      <w:pPr>
        <w:keepNext w:val="0"/>
        <w:keepLines w:val="0"/>
        <w:pageBreakBefore w:val="0"/>
        <w:widowControl w:val="0"/>
        <w:kinsoku/>
        <w:wordWrap/>
        <w:overflowPunct/>
        <w:topLinePunct w:val="0"/>
        <w:autoSpaceDE/>
        <w:autoSpaceDN w:val="0"/>
        <w:bidi w:val="0"/>
        <w:adjustRightInd/>
        <w:snapToGrid/>
        <w:spacing w:line="70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关于开展</w:t>
      </w:r>
      <w:r>
        <w:rPr>
          <w:rFonts w:hint="eastAsia" w:ascii="宋体" w:hAnsi="宋体" w:eastAsia="宋体" w:cs="宋体"/>
          <w:b/>
          <w:bCs/>
          <w:sz w:val="36"/>
          <w:szCs w:val="36"/>
        </w:rPr>
        <w:t>“</w:t>
      </w:r>
      <w:r>
        <w:rPr>
          <w:rFonts w:hint="eastAsia" w:ascii="宋体" w:hAnsi="宋体" w:eastAsia="宋体" w:cs="宋体"/>
          <w:b/>
          <w:bCs/>
          <w:sz w:val="36"/>
          <w:szCs w:val="36"/>
          <w:lang w:eastAsia="zh-CN"/>
        </w:rPr>
        <w:t>第三届</w:t>
      </w:r>
      <w:r>
        <w:rPr>
          <w:rFonts w:hint="eastAsia" w:ascii="宋体" w:hAnsi="宋体" w:eastAsia="宋体" w:cs="宋体"/>
          <w:b/>
          <w:bCs/>
          <w:sz w:val="36"/>
          <w:szCs w:val="36"/>
        </w:rPr>
        <w:t>全国中学生涯规划教育学术年会</w:t>
      </w:r>
      <w:r>
        <w:rPr>
          <w:rFonts w:hint="eastAsia" w:ascii="宋体" w:hAnsi="宋体" w:eastAsia="宋体" w:cs="宋体"/>
          <w:b/>
          <w:bCs/>
          <w:sz w:val="36"/>
          <w:szCs w:val="36"/>
          <w:lang w:eastAsia="zh-CN"/>
        </w:rPr>
        <w:t>”</w:t>
      </w:r>
    </w:p>
    <w:p>
      <w:pPr>
        <w:keepNext w:val="0"/>
        <w:keepLines w:val="0"/>
        <w:pageBreakBefore w:val="0"/>
        <w:widowControl w:val="0"/>
        <w:kinsoku/>
        <w:wordWrap/>
        <w:overflowPunct/>
        <w:topLinePunct w:val="0"/>
        <w:autoSpaceDE/>
        <w:autoSpaceDN w:val="0"/>
        <w:bidi w:val="0"/>
        <w:adjustRightInd/>
        <w:snapToGrid/>
        <w:spacing w:line="7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邀   请   函</w:t>
      </w:r>
    </w:p>
    <w:p>
      <w:pPr>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580" w:lineRule="exact"/>
        <w:ind w:left="482" w:hanging="482" w:hangingChars="200"/>
        <w:textAlignment w:val="auto"/>
        <w:rPr>
          <w:rFonts w:hint="eastAsia" w:ascii="宋体" w:hAnsi="宋体" w:eastAsia="宋体" w:cs="宋体"/>
          <w:b/>
          <w:bCs/>
          <w:sz w:val="24"/>
          <w:szCs w:val="24"/>
        </w:rPr>
      </w:pPr>
      <w:r>
        <w:rPr>
          <w:rFonts w:hint="eastAsia" w:ascii="宋体" w:hAnsi="宋体" w:eastAsia="宋体" w:cs="宋体"/>
          <w:b/>
          <w:bCs/>
          <w:sz w:val="24"/>
          <w:szCs w:val="24"/>
        </w:rPr>
        <w:t>全国各教育局、高中、初中学校</w:t>
      </w:r>
      <w:r>
        <w:rPr>
          <w:rFonts w:hint="eastAsia" w:ascii="宋体" w:hAnsi="宋体" w:eastAsia="宋体" w:cs="宋体"/>
          <w:b/>
          <w:bCs/>
          <w:sz w:val="24"/>
          <w:szCs w:val="24"/>
          <w:lang w:eastAsia="zh-CN"/>
        </w:rPr>
        <w:t>、生涯规划科研机构</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bidi w:val="0"/>
        <w:adjustRightInd/>
        <w:snapToGrid/>
        <w:spacing w:line="5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为全面推进我国各级各类学校生涯教育的深入发展，搭建生涯教育学术交流平台，传播生涯教育理论与实践的优秀成果，贯彻落实“国务院办公厅关于新时代推进普通高中育人方式改革的指导意见”：</w:t>
      </w:r>
      <w:r>
        <w:rPr>
          <w:rFonts w:hint="eastAsia" w:ascii="宋体" w:hAnsi="宋体" w:eastAsia="宋体" w:cs="宋体"/>
          <w:sz w:val="24"/>
          <w:szCs w:val="24"/>
          <w:lang w:eastAsia="zh-CN"/>
        </w:rPr>
        <w:t>“</w:t>
      </w:r>
      <w:r>
        <w:rPr>
          <w:rFonts w:hint="eastAsia" w:ascii="宋体" w:hAnsi="宋体" w:eastAsia="宋体" w:cs="宋体"/>
          <w:sz w:val="24"/>
          <w:szCs w:val="24"/>
        </w:rPr>
        <w:t>各地要制定学生发展指导意见，指导学校建立学生发展指导制度，加强指导教师培训。普通高中学校要明确指导机构，建立专兼结合的指导教师队伍，通过学科教学渗透、开设指导课程、举办专题讲座、开展职业体验</w:t>
      </w:r>
      <w:r>
        <w:rPr>
          <w:rFonts w:hint="eastAsia" w:ascii="宋体" w:hAnsi="宋体" w:eastAsia="宋体" w:cs="宋体"/>
          <w:sz w:val="24"/>
          <w:szCs w:val="24"/>
          <w:lang w:eastAsia="zh-CN"/>
        </w:rPr>
        <w:t>”</w:t>
      </w:r>
      <w:r>
        <w:rPr>
          <w:rFonts w:hint="eastAsia" w:ascii="宋体" w:hAnsi="宋体" w:eastAsia="宋体" w:cs="宋体"/>
          <w:sz w:val="24"/>
          <w:szCs w:val="24"/>
        </w:rPr>
        <w:t>等对学生进行指导的相关文件。</w:t>
      </w:r>
      <w:r>
        <w:rPr>
          <w:rFonts w:hint="eastAsia" w:ascii="宋体" w:hAnsi="宋体" w:eastAsia="宋体" w:cs="宋体"/>
          <w:sz w:val="24"/>
          <w:szCs w:val="24"/>
          <w:lang w:eastAsia="zh-CN"/>
        </w:rPr>
        <w:t>中国学校生涯规划教育网联合势生涯教育、</w:t>
      </w:r>
      <w:r>
        <w:rPr>
          <w:rFonts w:hint="eastAsia" w:ascii="宋体" w:hAnsi="宋体" w:eastAsia="宋体" w:cs="宋体"/>
          <w:sz w:val="24"/>
          <w:szCs w:val="24"/>
          <w:lang w:val="en-US" w:eastAsia="zh-CN"/>
        </w:rPr>
        <w:t>K12基础教育生涯规划教育研究院</w:t>
      </w:r>
      <w:r>
        <w:rPr>
          <w:rFonts w:hint="eastAsia" w:ascii="宋体" w:hAnsi="宋体" w:eastAsia="宋体" w:cs="宋体"/>
          <w:sz w:val="24"/>
          <w:szCs w:val="24"/>
        </w:rPr>
        <w:t>将于20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10日</w:t>
      </w:r>
      <w:r>
        <w:rPr>
          <w:rFonts w:hint="eastAsia" w:ascii="宋体" w:hAnsi="宋体" w:eastAsia="宋体" w:cs="宋体"/>
          <w:sz w:val="24"/>
          <w:szCs w:val="24"/>
        </w:rPr>
        <w:t>在</w:t>
      </w:r>
      <w:r>
        <w:rPr>
          <w:rFonts w:hint="eastAsia" w:ascii="宋体" w:hAnsi="宋体" w:eastAsia="宋体" w:cs="宋体"/>
          <w:sz w:val="24"/>
          <w:szCs w:val="24"/>
          <w:lang w:eastAsia="zh-CN"/>
        </w:rPr>
        <w:t>广西桂林市</w:t>
      </w:r>
      <w:r>
        <w:rPr>
          <w:rFonts w:hint="eastAsia" w:ascii="宋体" w:hAnsi="宋体" w:eastAsia="宋体" w:cs="宋体"/>
          <w:sz w:val="24"/>
          <w:szCs w:val="24"/>
        </w:rPr>
        <w:t>召开“</w:t>
      </w:r>
      <w:r>
        <w:rPr>
          <w:rFonts w:hint="eastAsia" w:ascii="宋体" w:hAnsi="宋体" w:eastAsia="宋体" w:cs="宋体"/>
          <w:sz w:val="24"/>
          <w:szCs w:val="24"/>
          <w:lang w:eastAsia="zh-CN"/>
        </w:rPr>
        <w:t>第三届</w:t>
      </w:r>
      <w:r>
        <w:rPr>
          <w:rFonts w:hint="eastAsia" w:ascii="宋体" w:hAnsi="宋体" w:eastAsia="宋体" w:cs="宋体"/>
          <w:sz w:val="24"/>
          <w:szCs w:val="24"/>
        </w:rPr>
        <w:t>全国中学生涯规划教育学术年会”。此次会议的目的是加强我国中学生涯规划教育的实效性，开展优秀成果推广和交流，总结、推广历年来学校生涯教育管理经验，加强区域之间、学校之间的交流，会议旨在为学校生涯教育工作提供经验和借鉴服务。会议期间，将观摩</w:t>
      </w:r>
      <w:r>
        <w:rPr>
          <w:rFonts w:hint="eastAsia" w:ascii="宋体" w:hAnsi="宋体" w:eastAsia="宋体" w:cs="宋体"/>
          <w:sz w:val="24"/>
          <w:szCs w:val="24"/>
          <w:lang w:eastAsia="zh-CN"/>
        </w:rPr>
        <w:t>广西师范大学附属中学</w:t>
      </w:r>
      <w:r>
        <w:rPr>
          <w:rFonts w:hint="eastAsia" w:ascii="宋体" w:hAnsi="宋体" w:eastAsia="宋体" w:cs="宋体"/>
          <w:b/>
          <w:bCs/>
          <w:sz w:val="24"/>
          <w:szCs w:val="24"/>
          <w:lang w:eastAsia="zh-CN"/>
        </w:rPr>
        <w:t>“</w:t>
      </w:r>
      <w:r>
        <w:rPr>
          <w:rFonts w:hint="eastAsia" w:ascii="宋体" w:hAnsi="宋体" w:eastAsia="宋体" w:cs="宋体"/>
          <w:b/>
          <w:bCs/>
          <w:sz w:val="24"/>
          <w:szCs w:val="24"/>
        </w:rPr>
        <w:t>生涯规划</w:t>
      </w:r>
      <w:r>
        <w:rPr>
          <w:rFonts w:hint="eastAsia" w:ascii="宋体" w:hAnsi="宋体" w:eastAsia="宋体" w:cs="宋体"/>
          <w:b/>
          <w:bCs/>
          <w:sz w:val="24"/>
          <w:szCs w:val="24"/>
          <w:lang w:eastAsia="zh-CN"/>
        </w:rPr>
        <w:t>能力演讲</w:t>
      </w:r>
      <w:r>
        <w:rPr>
          <w:rFonts w:hint="eastAsia" w:ascii="宋体" w:hAnsi="宋体" w:eastAsia="宋体" w:cs="宋体"/>
          <w:b/>
          <w:bCs/>
          <w:sz w:val="24"/>
          <w:szCs w:val="24"/>
        </w:rPr>
        <w:t>大赛</w:t>
      </w:r>
      <w:r>
        <w:rPr>
          <w:rFonts w:hint="eastAsia" w:ascii="宋体" w:hAnsi="宋体" w:eastAsia="宋体" w:cs="宋体"/>
          <w:b/>
          <w:bCs/>
          <w:sz w:val="24"/>
          <w:szCs w:val="24"/>
          <w:lang w:eastAsia="zh-CN"/>
        </w:rPr>
        <w:t>”</w:t>
      </w:r>
      <w:r>
        <w:rPr>
          <w:rFonts w:hint="eastAsia" w:ascii="宋体" w:hAnsi="宋体" w:eastAsia="宋体" w:cs="宋体"/>
          <w:sz w:val="24"/>
          <w:szCs w:val="24"/>
        </w:rPr>
        <w:t>总决赛</w:t>
      </w:r>
      <w:r>
        <w:rPr>
          <w:rFonts w:hint="eastAsia" w:ascii="宋体" w:hAnsi="宋体" w:eastAsia="宋体" w:cs="宋体"/>
          <w:sz w:val="24"/>
          <w:szCs w:val="24"/>
          <w:lang w:eastAsia="zh-CN"/>
        </w:rPr>
        <w:t>（详见大赛介绍）</w:t>
      </w:r>
      <w:r>
        <w:rPr>
          <w:rFonts w:hint="eastAsia" w:ascii="宋体" w:hAnsi="宋体" w:eastAsia="宋体" w:cs="宋体"/>
          <w:sz w:val="24"/>
          <w:szCs w:val="24"/>
        </w:rPr>
        <w:t>具体事宜如下：</w:t>
      </w:r>
    </w:p>
    <w:p>
      <w:pPr>
        <w:keepNext w:val="0"/>
        <w:keepLines w:val="0"/>
        <w:pageBreakBefore w:val="0"/>
        <w:widowControl w:val="0"/>
        <w:kinsoku/>
        <w:wordWrap/>
        <w:overflowPunct/>
        <w:topLinePunct w:val="0"/>
        <w:autoSpaceDE/>
        <w:bidi w:val="0"/>
        <w:adjustRightInd/>
        <w:snapToGrid/>
        <w:spacing w:line="5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年会</w:t>
      </w:r>
      <w:r>
        <w:rPr>
          <w:rFonts w:hint="eastAsia" w:ascii="宋体" w:hAnsi="宋体" w:eastAsia="宋体" w:cs="宋体"/>
          <w:b/>
          <w:bCs/>
          <w:sz w:val="24"/>
          <w:szCs w:val="24"/>
        </w:rPr>
        <w:t>组织</w:t>
      </w:r>
    </w:p>
    <w:p>
      <w:pPr>
        <w:keepNext w:val="0"/>
        <w:keepLines w:val="0"/>
        <w:pageBreakBefore w:val="0"/>
        <w:widowControl w:val="0"/>
        <w:kinsoku/>
        <w:wordWrap/>
        <w:overflowPunct/>
        <w:topLinePunct w:val="0"/>
        <w:autoSpaceDE/>
        <w:bidi w:val="0"/>
        <w:adjustRightInd/>
        <w:snapToGrid/>
        <w:spacing w:line="5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主办：</w:t>
      </w:r>
      <w:r>
        <w:rPr>
          <w:rFonts w:hint="eastAsia" w:ascii="宋体" w:hAnsi="宋体" w:eastAsia="宋体" w:cs="宋体"/>
          <w:sz w:val="24"/>
          <w:szCs w:val="24"/>
          <w:lang w:eastAsia="zh-CN"/>
        </w:rPr>
        <w:t>中国学校生涯规划教育网</w:t>
      </w:r>
    </w:p>
    <w:p>
      <w:pPr>
        <w:keepNext w:val="0"/>
        <w:keepLines w:val="0"/>
        <w:pageBreakBefore w:val="0"/>
        <w:widowControl w:val="0"/>
        <w:kinsoku/>
        <w:wordWrap/>
        <w:overflowPunct/>
        <w:topLinePunct w:val="0"/>
        <w:autoSpaceDE/>
        <w:bidi w:val="0"/>
        <w:adjustRightInd/>
        <w:snapToGrid/>
        <w:spacing w:line="5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协</w:t>
      </w:r>
      <w:r>
        <w:rPr>
          <w:rFonts w:hint="eastAsia" w:ascii="宋体" w:hAnsi="宋体" w:eastAsia="宋体" w:cs="宋体"/>
          <w:sz w:val="24"/>
          <w:szCs w:val="24"/>
        </w:rPr>
        <w:t>办：</w:t>
      </w:r>
      <w:r>
        <w:rPr>
          <w:rFonts w:hint="eastAsia" w:ascii="宋体" w:hAnsi="宋体" w:eastAsia="宋体" w:cs="宋体"/>
          <w:sz w:val="24"/>
          <w:szCs w:val="24"/>
          <w:lang w:val="en-US" w:eastAsia="zh-CN"/>
        </w:rPr>
        <w:t>势生涯教育  K12基础教育生涯规划教育研究院</w:t>
      </w:r>
    </w:p>
    <w:p>
      <w:pPr>
        <w:keepNext w:val="0"/>
        <w:keepLines w:val="0"/>
        <w:pageBreakBefore w:val="0"/>
        <w:widowControl w:val="0"/>
        <w:kinsoku/>
        <w:wordWrap/>
        <w:overflowPunct/>
        <w:topLinePunct w:val="0"/>
        <w:autoSpaceDE/>
        <w:bidi w:val="0"/>
        <w:adjustRightInd/>
        <w:snapToGrid/>
        <w:spacing w:line="580" w:lineRule="exact"/>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学术支持：</w:t>
      </w:r>
      <w:r>
        <w:rPr>
          <w:rFonts w:hint="eastAsia" w:ascii="宋体" w:hAnsi="宋体" w:eastAsia="宋体" w:cs="宋体"/>
          <w:sz w:val="24"/>
          <w:szCs w:val="24"/>
          <w:lang w:eastAsia="zh-CN"/>
        </w:rPr>
        <w:t>广西师范大学附属中学</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年会主要活动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广西师范大学附属中学“学生</w:t>
      </w:r>
      <w:r>
        <w:rPr>
          <w:rFonts w:hint="eastAsia" w:ascii="宋体" w:hAnsi="宋体" w:eastAsia="宋体" w:cs="宋体"/>
          <w:sz w:val="24"/>
          <w:szCs w:val="24"/>
        </w:rPr>
        <w:t>生涯规划</w:t>
      </w:r>
      <w:r>
        <w:rPr>
          <w:rFonts w:hint="eastAsia" w:ascii="宋体" w:hAnsi="宋体" w:eastAsia="宋体" w:cs="宋体"/>
          <w:sz w:val="24"/>
          <w:szCs w:val="24"/>
          <w:lang w:eastAsia="zh-CN"/>
        </w:rPr>
        <w:t>能力演讲</w:t>
      </w:r>
      <w:r>
        <w:rPr>
          <w:rFonts w:hint="eastAsia" w:ascii="宋体" w:hAnsi="宋体" w:eastAsia="宋体" w:cs="宋体"/>
          <w:sz w:val="24"/>
          <w:szCs w:val="24"/>
        </w:rPr>
        <w:t>大赛</w:t>
      </w:r>
      <w:r>
        <w:rPr>
          <w:rFonts w:hint="eastAsia" w:ascii="宋体" w:hAnsi="宋体" w:eastAsia="宋体" w:cs="宋体"/>
          <w:sz w:val="24"/>
          <w:szCs w:val="24"/>
          <w:lang w:eastAsia="zh-CN"/>
        </w:rPr>
        <w:t>”</w:t>
      </w:r>
      <w:r>
        <w:rPr>
          <w:rFonts w:hint="eastAsia" w:ascii="宋体" w:hAnsi="宋体" w:eastAsia="宋体" w:cs="宋体"/>
          <w:sz w:val="24"/>
          <w:szCs w:val="24"/>
        </w:rPr>
        <w:t>总决赛观摩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2、生涯课堂（两节生涯示范课）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生涯规划教育学术交流、成果展示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b/>
          <w:bCs/>
          <w:sz w:val="24"/>
          <w:szCs w:val="24"/>
          <w:lang w:val="en-US" w:eastAsia="zh-CN"/>
        </w:rPr>
        <w:t>参观考察</w:t>
      </w:r>
      <w:bookmarkStart w:id="0" w:name="_GoBack"/>
      <w:r>
        <w:rPr>
          <w:rFonts w:hint="eastAsia" w:ascii="宋体" w:hAnsi="宋体" w:eastAsia="宋体" w:cs="宋体"/>
          <w:b/>
          <w:bCs/>
          <w:sz w:val="24"/>
          <w:szCs w:val="24"/>
          <w:lang w:val="en-US" w:eastAsia="zh-CN"/>
        </w:rPr>
        <w:t>广西师范大学附属中学</w:t>
      </w:r>
      <w:bookmarkEnd w:id="0"/>
      <w:r>
        <w:rPr>
          <w:rFonts w:hint="eastAsia" w:ascii="宋体" w:hAnsi="宋体" w:eastAsia="宋体" w:cs="宋体"/>
          <w:b/>
          <w:bCs/>
          <w:sz w:val="24"/>
          <w:szCs w:val="24"/>
          <w:lang w:eastAsia="zh-CN"/>
        </w:rPr>
        <w:t>参观考察（校园文化、办学特色、）</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5、观摩广西师范大学附属中学——</w:t>
      </w:r>
      <w:r>
        <w:rPr>
          <w:rFonts w:hint="eastAsia" w:ascii="宋体" w:hAnsi="宋体" w:eastAsia="宋体" w:cs="宋体"/>
          <w:b/>
          <w:bCs/>
          <w:sz w:val="24"/>
          <w:szCs w:val="24"/>
          <w:lang w:eastAsia="zh-CN"/>
        </w:rPr>
        <w:t>学生发展指导中心：</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该中心由接待室、阅读区、办公室、个性辅导室、测评室、沙盘室和活动室等七个功能室组成，通过开展生涯课程、生涯社团、大学与专业嘉年华、职业讲师团、生涯主题班会、家长讲学团、校友交流会、教师生涯体验展示会、生涯游园会、学生职业生涯体验日、兴趣性格自我探索活动周、生涯规划能力演讲比赛、未来专业背景下的研究性学习等活动，让学生更好地认识自我，了解社会，科学决策，成就更好的自己</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三、年会讨论主要内容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学校</w:t>
      </w:r>
      <w:r>
        <w:rPr>
          <w:rFonts w:hint="eastAsia" w:ascii="宋体" w:hAnsi="宋体" w:eastAsia="宋体" w:cs="宋体"/>
          <w:sz w:val="24"/>
          <w:szCs w:val="24"/>
        </w:rPr>
        <w:t>学生发展指导制度建设研究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生涯规划教育指导中心建设策略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生涯课程、</w:t>
      </w:r>
      <w:r>
        <w:rPr>
          <w:rFonts w:hint="eastAsia" w:ascii="宋体" w:hAnsi="宋体" w:eastAsia="宋体" w:cs="宋体"/>
          <w:sz w:val="24"/>
          <w:szCs w:val="24"/>
          <w:lang w:eastAsia="zh-CN"/>
        </w:rPr>
        <w:t>生涯课堂、生涯教材</w:t>
      </w:r>
      <w:r>
        <w:rPr>
          <w:rFonts w:hint="eastAsia" w:ascii="宋体" w:hAnsi="宋体" w:eastAsia="宋体" w:cs="宋体"/>
          <w:sz w:val="24"/>
          <w:szCs w:val="24"/>
        </w:rPr>
        <w:t>、生涯社团建设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区域生涯教育发展策略（教育局层面）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学校“卓越生涯规划师”培养计划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生涯视角下的青少年学习能力提升与学业规划指导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生涯教育活动设计、生涯主题班会、生涯家长课堂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四、生涯案例、成果征集与展示</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生涯教育专题片、视频、情景剧、微电影、学生演讲视频等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生涯教育校本课程、生涯教育选修课程、生涯课堂教学设计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生涯规划教材研发</w:t>
      </w:r>
      <w:r>
        <w:rPr>
          <w:rFonts w:hint="eastAsia" w:ascii="宋体" w:hAnsi="宋体" w:eastAsia="宋体" w:cs="宋体"/>
          <w:sz w:val="24"/>
          <w:szCs w:val="24"/>
          <w:lang w:eastAsia="zh-CN"/>
        </w:rPr>
        <w:t>、生涯档案建设、生涯体验活动设计</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（请优秀学校代表发言</w:t>
      </w:r>
      <w:r>
        <w:rPr>
          <w:rFonts w:hint="eastAsia" w:ascii="宋体" w:hAnsi="宋体" w:eastAsia="宋体" w:cs="宋体"/>
          <w:b/>
          <w:bCs/>
          <w:sz w:val="24"/>
          <w:szCs w:val="24"/>
          <w:lang w:val="en-US" w:eastAsia="zh-CN"/>
        </w:rPr>
        <w:t>30分钟，并将成果编辑成册，如“某某中学生涯教育实践”，组委会将安排展台展示，视频资料请带优盘</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五、关于表彰</w:t>
      </w:r>
      <w:r>
        <w:rPr>
          <w:rFonts w:hint="eastAsia" w:ascii="宋体" w:hAnsi="宋体" w:eastAsia="宋体" w:cs="宋体"/>
          <w:sz w:val="24"/>
          <w:szCs w:val="24"/>
        </w:rPr>
        <w:t>（仅限本次参加会议学员参与，不收任何费用）：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“全国学校</w:t>
      </w:r>
      <w:r>
        <w:rPr>
          <w:rFonts w:hint="eastAsia" w:ascii="宋体" w:hAnsi="宋体" w:eastAsia="宋体" w:cs="宋体"/>
          <w:sz w:val="24"/>
          <w:szCs w:val="24"/>
          <w:lang w:eastAsia="zh-CN"/>
        </w:rPr>
        <w:t>（机构）</w:t>
      </w:r>
      <w:r>
        <w:rPr>
          <w:rFonts w:hint="eastAsia" w:ascii="宋体" w:hAnsi="宋体" w:eastAsia="宋体" w:cs="宋体"/>
          <w:sz w:val="24"/>
          <w:szCs w:val="24"/>
        </w:rPr>
        <w:t>生涯规划教育先进单位”</w:t>
      </w:r>
      <w:r>
        <w:rPr>
          <w:rFonts w:hint="eastAsia" w:ascii="宋体" w:hAnsi="宋体" w:eastAsia="宋体" w:cs="宋体"/>
          <w:sz w:val="24"/>
          <w:szCs w:val="24"/>
          <w:lang w:eastAsia="zh-CN"/>
        </w:rPr>
        <w:t>表彰</w:t>
      </w:r>
      <w:r>
        <w:rPr>
          <w:rFonts w:hint="eastAsia" w:ascii="宋体" w:hAnsi="宋体" w:eastAsia="宋体" w:cs="宋体"/>
          <w:sz w:val="24"/>
          <w:szCs w:val="24"/>
        </w:rPr>
        <w:t>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“全国学校生涯规划教育先进工作者”</w:t>
      </w:r>
      <w:r>
        <w:rPr>
          <w:rFonts w:hint="eastAsia" w:ascii="宋体" w:hAnsi="宋体" w:eastAsia="宋体" w:cs="宋体"/>
          <w:sz w:val="24"/>
          <w:szCs w:val="24"/>
          <w:lang w:eastAsia="zh-CN"/>
        </w:rPr>
        <w:t>表彰</w:t>
      </w:r>
      <w:r>
        <w:rPr>
          <w:rFonts w:hint="eastAsia" w:ascii="宋体" w:hAnsi="宋体" w:eastAsia="宋体" w:cs="宋体"/>
          <w:sz w:val="24"/>
          <w:szCs w:val="24"/>
        </w:rPr>
        <w:t>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3、“生涯课教学设计、生涯论文、生涯优质课”</w:t>
      </w:r>
      <w:r>
        <w:rPr>
          <w:rFonts w:hint="eastAsia" w:ascii="宋体" w:hAnsi="宋体" w:eastAsia="宋体" w:cs="宋体"/>
          <w:sz w:val="24"/>
          <w:szCs w:val="24"/>
          <w:lang w:eastAsia="zh-CN"/>
        </w:rPr>
        <w:t>表彰</w:t>
      </w:r>
      <w:r>
        <w:rPr>
          <w:rFonts w:hint="eastAsia" w:ascii="宋体" w:hAnsi="宋体" w:eastAsia="宋体" w:cs="宋体"/>
          <w:sz w:val="24"/>
          <w:szCs w:val="24"/>
        </w:rPr>
        <w:t>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组委会将对获奖单位和个人颁发牌匾与荣誉证书，择优推荐在大会上交流（索要申请表）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六、第三届生涯年会日程安排表  </w:t>
      </w:r>
    </w:p>
    <w:tbl>
      <w:tblPr>
        <w:tblStyle w:val="3"/>
        <w:tblW w:w="9597"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8"/>
        <w:gridCol w:w="1473"/>
        <w:gridCol w:w="5667"/>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1" w:hRule="exact"/>
        </w:trPr>
        <w:tc>
          <w:tcPr>
            <w:tcW w:w="13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caps w:val="0"/>
                <w:color w:val="494949"/>
                <w:spacing w:val="0"/>
                <w:sz w:val="28"/>
                <w:szCs w:val="28"/>
                <w:lang w:val="en-US" w:eastAsia="zh-CN"/>
              </w:rPr>
            </w:pPr>
            <w:r>
              <w:rPr>
                <w:rFonts w:hint="eastAsia" w:ascii="宋体" w:hAnsi="宋体" w:eastAsia="宋体" w:cs="宋体"/>
                <w:b/>
                <w:bCs/>
                <w:i w:val="0"/>
                <w:caps w:val="0"/>
                <w:color w:val="494949"/>
                <w:spacing w:val="200"/>
                <w:kern w:val="0"/>
                <w:sz w:val="28"/>
                <w:szCs w:val="28"/>
                <w:fitText w:val="960" w:id="1794528184"/>
                <w:lang w:val="en-US" w:eastAsia="zh-CN"/>
              </w:rPr>
              <w:t>时</w:t>
            </w:r>
            <w:r>
              <w:rPr>
                <w:rFonts w:hint="eastAsia" w:ascii="宋体" w:hAnsi="宋体" w:eastAsia="宋体" w:cs="宋体"/>
                <w:b/>
                <w:bCs/>
                <w:i w:val="0"/>
                <w:caps w:val="0"/>
                <w:color w:val="494949"/>
                <w:spacing w:val="0"/>
                <w:kern w:val="0"/>
                <w:sz w:val="28"/>
                <w:szCs w:val="28"/>
                <w:fitText w:val="960" w:id="1794528184"/>
                <w:lang w:val="en-US" w:eastAsia="zh-CN"/>
              </w:rPr>
              <w:t>间</w:t>
            </w:r>
          </w:p>
        </w:tc>
        <w:tc>
          <w:tcPr>
            <w:tcW w:w="1473"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caps w:val="0"/>
                <w:color w:val="494949"/>
                <w:spacing w:val="0"/>
                <w:sz w:val="28"/>
                <w:szCs w:val="28"/>
                <w:lang w:val="en-US" w:eastAsia="zh-CN"/>
              </w:rPr>
            </w:pPr>
            <w:r>
              <w:rPr>
                <w:rFonts w:hint="eastAsia" w:ascii="宋体" w:hAnsi="宋体" w:eastAsia="宋体" w:cs="宋体"/>
                <w:b/>
                <w:bCs/>
                <w:i w:val="0"/>
                <w:caps w:val="0"/>
                <w:color w:val="494949"/>
                <w:spacing w:val="0"/>
                <w:w w:val="85"/>
                <w:kern w:val="0"/>
                <w:sz w:val="28"/>
                <w:szCs w:val="28"/>
                <w:fitText w:val="960" w:id="2107327778"/>
                <w:lang w:val="en-US" w:eastAsia="zh-CN"/>
              </w:rPr>
              <w:t>课程安</w:t>
            </w:r>
            <w:r>
              <w:rPr>
                <w:rFonts w:hint="eastAsia" w:ascii="宋体" w:hAnsi="宋体" w:eastAsia="宋体" w:cs="宋体"/>
                <w:b/>
                <w:bCs/>
                <w:i w:val="0"/>
                <w:caps w:val="0"/>
                <w:color w:val="494949"/>
                <w:spacing w:val="1"/>
                <w:w w:val="85"/>
                <w:kern w:val="0"/>
                <w:sz w:val="28"/>
                <w:szCs w:val="28"/>
                <w:fitText w:val="960" w:id="2107327778"/>
                <w:lang w:val="en-US" w:eastAsia="zh-CN"/>
              </w:rPr>
              <w:t>排</w:t>
            </w:r>
          </w:p>
        </w:tc>
        <w:tc>
          <w:tcPr>
            <w:tcW w:w="5667"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caps w:val="0"/>
                <w:color w:val="494949"/>
                <w:spacing w:val="0"/>
                <w:sz w:val="28"/>
                <w:szCs w:val="28"/>
                <w:lang w:val="en-US" w:eastAsia="zh-CN"/>
              </w:rPr>
            </w:pPr>
            <w:r>
              <w:rPr>
                <w:rFonts w:hint="eastAsia" w:ascii="宋体" w:hAnsi="宋体" w:eastAsia="宋体" w:cs="宋体"/>
                <w:b/>
                <w:bCs/>
                <w:i w:val="0"/>
                <w:caps w:val="0"/>
                <w:color w:val="494949"/>
                <w:spacing w:val="0"/>
                <w:w w:val="85"/>
                <w:kern w:val="0"/>
                <w:sz w:val="28"/>
                <w:szCs w:val="28"/>
                <w:fitText w:val="960" w:id="1370520054"/>
                <w:lang w:val="en-US" w:eastAsia="zh-CN"/>
              </w:rPr>
              <w:t>具体内</w:t>
            </w:r>
            <w:r>
              <w:rPr>
                <w:rFonts w:hint="eastAsia" w:ascii="宋体" w:hAnsi="宋体" w:eastAsia="宋体" w:cs="宋体"/>
                <w:b/>
                <w:bCs/>
                <w:i w:val="0"/>
                <w:caps w:val="0"/>
                <w:color w:val="494949"/>
                <w:spacing w:val="1"/>
                <w:w w:val="85"/>
                <w:kern w:val="0"/>
                <w:sz w:val="28"/>
                <w:szCs w:val="28"/>
                <w:fitText w:val="960" w:id="1370520054"/>
                <w:lang w:val="en-US" w:eastAsia="zh-CN"/>
              </w:rPr>
              <w:t>容</w:t>
            </w:r>
          </w:p>
        </w:tc>
        <w:tc>
          <w:tcPr>
            <w:tcW w:w="1149"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caps w:val="0"/>
                <w:color w:val="494949"/>
                <w:spacing w:val="0"/>
                <w:sz w:val="28"/>
                <w:szCs w:val="28"/>
                <w:lang w:val="en-US" w:eastAsia="zh-CN"/>
              </w:rPr>
            </w:pPr>
            <w:r>
              <w:rPr>
                <w:rFonts w:hint="eastAsia" w:ascii="宋体" w:hAnsi="宋体" w:eastAsia="宋体" w:cs="宋体"/>
                <w:b/>
                <w:bCs/>
                <w:i w:val="0"/>
                <w:caps w:val="0"/>
                <w:color w:val="494949"/>
                <w:spacing w:val="200"/>
                <w:kern w:val="0"/>
                <w:sz w:val="28"/>
                <w:szCs w:val="28"/>
                <w:fitText w:val="960" w:id="1056991667"/>
                <w:lang w:val="en-US" w:eastAsia="zh-CN"/>
              </w:rPr>
              <w:t>地</w:t>
            </w:r>
            <w:r>
              <w:rPr>
                <w:rFonts w:hint="eastAsia" w:ascii="宋体" w:hAnsi="宋体" w:eastAsia="宋体" w:cs="宋体"/>
                <w:b/>
                <w:bCs/>
                <w:i w:val="0"/>
                <w:caps w:val="0"/>
                <w:color w:val="494949"/>
                <w:spacing w:val="0"/>
                <w:kern w:val="0"/>
                <w:sz w:val="28"/>
                <w:szCs w:val="28"/>
                <w:fitText w:val="960" w:id="1056991667"/>
                <w:lang w:val="en-US" w:eastAsia="zh-CN"/>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6" w:hRule="exact"/>
        </w:trPr>
        <w:tc>
          <w:tcPr>
            <w:tcW w:w="13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caps w:val="0"/>
                <w:color w:val="494949"/>
                <w:spacing w:val="0"/>
                <w:sz w:val="28"/>
                <w:szCs w:val="28"/>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12月7日</w:t>
            </w:r>
          </w:p>
        </w:tc>
        <w:tc>
          <w:tcPr>
            <w:tcW w:w="7140" w:type="dxa"/>
            <w:gridSpan w:val="2"/>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caps w:val="0"/>
                <w:color w:val="494949"/>
                <w:spacing w:val="0"/>
                <w:sz w:val="28"/>
                <w:szCs w:val="28"/>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全天：活动报到，办理相关手续</w:t>
            </w:r>
          </w:p>
        </w:tc>
        <w:tc>
          <w:tcPr>
            <w:tcW w:w="1149"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caps w:val="0"/>
                <w:color w:val="494949"/>
                <w:spacing w:val="0"/>
                <w:sz w:val="28"/>
                <w:szCs w:val="28"/>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酒店内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70" w:hRule="atLeast"/>
        </w:trPr>
        <w:tc>
          <w:tcPr>
            <w:tcW w:w="1308" w:type="dxa"/>
            <w:vMerge w:val="restart"/>
            <w:tcBorders>
              <w:top w:val="nil"/>
              <w:left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12月8日</w:t>
            </w:r>
          </w:p>
        </w:tc>
        <w:tc>
          <w:tcPr>
            <w:tcW w:w="1473" w:type="dxa"/>
            <w:tcBorders>
              <w:top w:val="nil"/>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上午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广西师范大学附属中学访学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p>
        </w:tc>
        <w:tc>
          <w:tcPr>
            <w:tcW w:w="5667" w:type="dxa"/>
            <w:tcBorders>
              <w:top w:val="nil"/>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1、参观校园文化、学生发展指导中心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2、学校办学理念、特色介绍（校长）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3、生涯经验分享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时间：上午8:00——11:30分</w:t>
            </w:r>
          </w:p>
        </w:tc>
        <w:tc>
          <w:tcPr>
            <w:tcW w:w="1149" w:type="dxa"/>
            <w:tcBorders>
              <w:top w:val="single" w:color="000000" w:sz="6" w:space="0"/>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师大附中报告厅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1" w:hRule="atLeast"/>
        </w:trPr>
        <w:tc>
          <w:tcPr>
            <w:tcW w:w="1308" w:type="dxa"/>
            <w:vMerge w:val="continue"/>
            <w:tcBorders>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p>
        </w:tc>
        <w:tc>
          <w:tcPr>
            <w:tcW w:w="1473" w:type="dxa"/>
            <w:tcBorders>
              <w:top w:val="single" w:color="auto" w:sz="4"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下午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生涯课堂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生涯大赛</w:t>
            </w:r>
          </w:p>
        </w:tc>
        <w:tc>
          <w:tcPr>
            <w:tcW w:w="5667" w:type="dxa"/>
            <w:tcBorders>
              <w:top w:val="single" w:color="auto" w:sz="4"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1、生涯通识课程示范课（一节）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2、生涯学科渗透示范课（一节）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3、广西师大附中学生生涯规划能力大赛总决赛观摩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4、学校领导访谈：座谈、提问答疑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时间：13:30-17:30</w:t>
            </w:r>
          </w:p>
        </w:tc>
        <w:tc>
          <w:tcPr>
            <w:tcW w:w="1149" w:type="dxa"/>
            <w:tcBorders>
              <w:top w:val="single" w:color="auto" w:sz="4"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师大附中报告厅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6" w:hRule="atLeast"/>
        </w:trPr>
        <w:tc>
          <w:tcPr>
            <w:tcW w:w="1308" w:type="dxa"/>
            <w:tcBorders>
              <w:top w:val="nil"/>
              <w:left w:val="single" w:color="000000" w:sz="6" w:space="0"/>
              <w:bottom w:val="single" w:color="auto" w:sz="4"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12月9日</w:t>
            </w:r>
          </w:p>
        </w:tc>
        <w:tc>
          <w:tcPr>
            <w:tcW w:w="1473" w:type="dxa"/>
            <w:tcBorders>
              <w:top w:val="nil"/>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经验分享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成果展示</w:t>
            </w:r>
          </w:p>
        </w:tc>
        <w:tc>
          <w:tcPr>
            <w:tcW w:w="5667" w:type="dxa"/>
            <w:tcBorders>
              <w:top w:val="nil"/>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优秀代表发言、成果展示、专家引领</w:t>
            </w:r>
          </w:p>
        </w:tc>
        <w:tc>
          <w:tcPr>
            <w:tcW w:w="1149" w:type="dxa"/>
            <w:tcBorders>
              <w:top w:val="nil"/>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师大附中报告厅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4" w:hRule="atLeast"/>
        </w:trPr>
        <w:tc>
          <w:tcPr>
            <w:tcW w:w="1308" w:type="dxa"/>
            <w:tcBorders>
              <w:top w:val="single" w:color="auto" w:sz="4"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12月10日</w:t>
            </w:r>
          </w:p>
        </w:tc>
        <w:tc>
          <w:tcPr>
            <w:tcW w:w="1473" w:type="dxa"/>
            <w:tcBorders>
              <w:top w:val="single" w:color="auto" w:sz="4"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全天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经验分享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成果展示</w:t>
            </w:r>
          </w:p>
        </w:tc>
        <w:tc>
          <w:tcPr>
            <w:tcW w:w="5667" w:type="dxa"/>
            <w:tcBorders>
              <w:top w:val="single" w:color="auto" w:sz="4"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优秀代表发言、成果展示、专家引领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会议结束（17:30分）</w:t>
            </w:r>
          </w:p>
        </w:tc>
        <w:tc>
          <w:tcPr>
            <w:tcW w:w="1149" w:type="dxa"/>
            <w:tcBorders>
              <w:top w:val="single" w:color="auto" w:sz="4"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caps w:val="0"/>
                <w:color w:val="494949"/>
                <w:spacing w:val="0"/>
                <w:sz w:val="28"/>
                <w:szCs w:val="28"/>
                <w:shd w:val="clear" w:color="auto" w:fill="FFFFFF"/>
                <w:lang w:val="en-US" w:eastAsia="zh-CN"/>
              </w:rPr>
            </w:pPr>
            <w:r>
              <w:rPr>
                <w:rFonts w:hint="eastAsia" w:ascii="宋体" w:hAnsi="宋体" w:eastAsia="宋体" w:cs="宋体"/>
                <w:b w:val="0"/>
                <w:bCs w:val="0"/>
                <w:i w:val="0"/>
                <w:caps w:val="0"/>
                <w:color w:val="494949"/>
                <w:spacing w:val="0"/>
                <w:sz w:val="28"/>
                <w:szCs w:val="28"/>
                <w:shd w:val="clear" w:color="auto" w:fill="FFFFFF"/>
                <w:lang w:val="en-US" w:eastAsia="zh-CN"/>
              </w:rPr>
              <w:t>师大附中报告厅</w:t>
            </w:r>
          </w:p>
        </w:tc>
      </w:tr>
    </w:tbl>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七、大会拟邀请参会的领导与专家</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sz w:val="24"/>
          <w:szCs w:val="24"/>
          <w:lang w:val="en-US" w:eastAsia="zh-CN"/>
        </w:rPr>
        <w:t>陈宛玉：</w:t>
      </w:r>
      <w:r>
        <w:rPr>
          <w:rFonts w:hint="eastAsia" w:ascii="宋体" w:hAnsi="宋体" w:eastAsia="宋体" w:cs="宋体"/>
          <w:sz w:val="24"/>
          <w:szCs w:val="24"/>
          <w:lang w:val="en-US" w:eastAsia="zh-CN"/>
        </w:rPr>
        <w:t>广西师范大学教育学部心理学系教师，心理学博士，硕士生导师，兼任中国关心下一代委员会教育中心生涯教育专委会副主任，中国教育战略学会生涯教育专委会理事，广西生涯教育研究会副秘书长，广西心理学会科普专委会主任、华侨大学生涯教育研究院特聘研究员、广西中小学心理健康发展研究中心特聘专家、自治区首届学生发展指导专委会秘书，主编与副主编《高中生生涯规划》《高中生生涯规划教学设计》、《生涯规划指导（职教版）》等多本生涯与心育相关书籍。</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eastAsia="zh-CN"/>
        </w:rPr>
        <w:t>李文辉：</w:t>
      </w:r>
      <w:r>
        <w:rPr>
          <w:rFonts w:hint="eastAsia" w:ascii="宋体" w:hAnsi="宋体" w:eastAsia="宋体" w:cs="宋体"/>
          <w:sz w:val="24"/>
          <w:szCs w:val="24"/>
          <w:lang w:val="en-US" w:eastAsia="zh-CN"/>
        </w:rPr>
        <w:t>势生涯创始人、全国学生发展指导中心主任、中国学校生涯规划教育网专家指导委员会主任、全国《生涯规划教育与学生未来发展研究》总课题组负责人、全国首届高中生涯教育研讨会策划者、“未来精英少年发展指导特训营”负责人、势生涯学生发展指导测评系统研发专家。</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李林波：</w:t>
      </w:r>
      <w:r>
        <w:rPr>
          <w:rFonts w:hint="eastAsia" w:ascii="宋体" w:hAnsi="宋体" w:eastAsia="宋体" w:cs="宋体"/>
          <w:sz w:val="24"/>
          <w:szCs w:val="24"/>
          <w:lang w:val="en-US" w:eastAsia="zh-CN"/>
        </w:rPr>
        <w:t>广西师范大学附属中学校长、广西生涯教育学会副会长、广西基础教育名师，广西基础教育领航校长培养对象，广西八桂教育家摇篮工程培养对象。被聘为广西首批国培计划专家库专家，广西普通高中新课程改革教学指导组专家，广西普通高中课程改革教学指导委员会委员，广西本科高等学校教育学类教学指导委员会委员，广西教育学会历史教学专业委员会常务理事，广西基础教育研究院研究员，广西师范大学教育硕士导师。</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b/>
          <w:bCs/>
          <w:sz w:val="24"/>
          <w:szCs w:val="24"/>
          <w:lang w:val="en-US" w:eastAsia="zh-CN"/>
        </w:rPr>
        <w:t>梅进德</w:t>
      </w:r>
      <w:r>
        <w:rPr>
          <w:rFonts w:hint="eastAsia" w:ascii="宋体" w:hAnsi="宋体" w:eastAsia="宋体" w:cs="宋体"/>
          <w:sz w:val="24"/>
          <w:szCs w:val="24"/>
          <w:lang w:val="en-US" w:eastAsia="zh-CN"/>
        </w:rPr>
        <w:t xml:space="preserve"> 势生涯核心专家、浙江省丽水中学生涯规划中心主任，浙江省基础教育课程改革专业指导委员会生涯规划教育组委员。主编基于丽水中学生涯规划教育实践、被业界称为“生涯规划教育百科全书”的《高中生涯规划教育100问》，共同主编《高中生生涯规划指导实操手册》，副主编广西高中生涯规划教材《高中生生涯规划指导》，所主持的生涯规划教育成果《生涯样板：全员深度卷入的生涯规划教学体系构建的“全息模式”》获得2021年浙江省教学成果一等奖。</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eastAsia="zh-CN"/>
        </w:rPr>
        <w:t>刘崇利：</w:t>
      </w:r>
      <w:r>
        <w:rPr>
          <w:rFonts w:hint="eastAsia" w:ascii="宋体" w:hAnsi="宋体" w:eastAsia="宋体" w:cs="宋体"/>
          <w:sz w:val="24"/>
          <w:szCs w:val="24"/>
          <w:lang w:val="en-US" w:eastAsia="zh-CN"/>
        </w:rPr>
        <w:t>势生涯核心专家、中国海洋大学研究生实践导师、学生发展指导专业委员会理事、全国高中选科指导专家、教育部个人教育规划师、资深高考志愿指导专家、全国高考志愿填报与学生未来发展研究总课题组负责人。受邀为多所中学与大学担任学生发展指导专家。著有《赢跑，新高考》、《大数据与高考志愿填报》等学生发展指导作品。</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万勇：</w:t>
      </w:r>
      <w:r>
        <w:rPr>
          <w:rFonts w:hint="eastAsia" w:ascii="宋体" w:hAnsi="宋体" w:eastAsia="宋体" w:cs="宋体"/>
          <w:sz w:val="24"/>
          <w:szCs w:val="24"/>
          <w:lang w:val="en-US" w:eastAsia="zh-CN"/>
        </w:rPr>
        <w:t>万叔生涯教育工作室主持人，势生涯核心专家、中国教育发展战略学会生涯规划指导专委会理事、重庆市家校教育合作研究会特聘顾问、重庆二十一世纪家长教育研究院研究员，全国生涯规划教育先进个人、全国名师工作室联盟优秀主持人、重庆为明教育发展中心主任，原重外外国语学校生涯教育研究中心主任兼首批生涯规划试点班首席班主任，全国生涯规划教育先进个人。</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古芬：</w:t>
      </w:r>
      <w:r>
        <w:rPr>
          <w:rFonts w:hint="eastAsia" w:ascii="宋体" w:hAnsi="宋体" w:eastAsia="宋体" w:cs="宋体"/>
          <w:sz w:val="24"/>
          <w:szCs w:val="24"/>
          <w:lang w:val="en-US" w:eastAsia="zh-CN"/>
        </w:rPr>
        <w:t>广西师范大学附属中学学生发展指导中心主任，多次获得广西师范大学优秀共产党员、桂林市优秀教师、桂林市思想政治学科带头人、教学能手、桂林市优秀高三班主任等荣誉称号，担任桂林市思想政治学科兼职教研员、广西师大马克思主义学院研究生指导老师。参加ACDF青少年生涯发展辅导师岗位技能培训及势生涯三维六度生涯规划师培训、并获得职业生涯规划师证书。主持学校学生发展指导中心工作打造生涯特色学校，在广西生涯教育中有成效和一定的影响力，广西师大附中被评为广西首批生涯教育实验学校。</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eastAsia="zh-CN"/>
        </w:rPr>
        <w:t>徐秀琴：</w:t>
      </w:r>
      <w:r>
        <w:rPr>
          <w:rFonts w:hint="eastAsia" w:ascii="宋体" w:hAnsi="宋体" w:eastAsia="宋体" w:cs="宋体"/>
          <w:sz w:val="24"/>
          <w:szCs w:val="24"/>
          <w:lang w:val="en-US" w:eastAsia="zh-CN"/>
        </w:rPr>
        <w:t>势生涯核心专家、中国学校生涯规划教育网专家指导委员会核心专家、全国生涯规划师、山东大学创新创业学院学生发展导师、曾在世界500强知名企业做人力资源管理工作10年，势生涯学生发展指导能力培训首席咨询师，累计为上千名中学生进行生涯规划辅导，指导学生成功报考清华北大、985、211心仪大学和专业超过100个真实案例。</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卫红美：</w:t>
      </w:r>
      <w:r>
        <w:rPr>
          <w:rFonts w:hint="eastAsia" w:ascii="宋体" w:hAnsi="宋体" w:eastAsia="宋体" w:cs="宋体"/>
          <w:sz w:val="24"/>
          <w:szCs w:val="24"/>
          <w:lang w:val="en-US" w:eastAsia="zh-CN"/>
        </w:rPr>
        <w:t>势生涯核心专家、北京师范大学应用心理学硕士、生涯规划师。累计大型讲座上千场，听众分布山东、河北、辽宁、广东、湖南等地。一对一指导个案超过500人，擅长与学生沟通，能够结合学生的个性特质以及家庭情况，为其量身定制个性化的升学规划方案，获得家长和学生的一致好评。</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八、参加对象：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高中、初中学校生涯教育负责人、专兼职生涯教师、德育领导、</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学生发展指导中心相关负责人、各地教育局相关负责人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K12基础教育生涯规划教育研究院联盟学校、各省份生涯教育试点学校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全国生涯规划重点科研基地、示范基地</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九、会议时间及地点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会议时间：2023年12月8日—10日（7日报到）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地点：桂林市（广西师大附中）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十、会议费用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会务费：1080元（包括：培训费、学习费、专家费、场地费）会议食宿、差旅费回原单位报销。组委会统一安排食宿（每人每天约  元），报名后3日内将会务费汇至指定账户，以便提前安排与会老师的参会资料、座次、食宿。（交通费、住宿费自理）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十一、报名联系电话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联系电话：010-61354811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报名邮箱： nyltlihai@126.com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联系人：李老师15810469859</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网址:  www.zgxxsygh.com（官网）  </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241" w:firstLineChars="100"/>
        <w:jc w:val="lef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41" w:firstLineChars="100"/>
        <w:jc w:val="lef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41" w:firstLineChars="1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drawing>
          <wp:anchor distT="0" distB="0" distL="114300" distR="114300" simplePos="0" relativeHeight="251660288" behindDoc="1" locked="0" layoutInCell="1" allowOverlap="1">
            <wp:simplePos x="0" y="0"/>
            <wp:positionH relativeFrom="column">
              <wp:posOffset>3832860</wp:posOffset>
            </wp:positionH>
            <wp:positionV relativeFrom="paragraph">
              <wp:posOffset>34290</wp:posOffset>
            </wp:positionV>
            <wp:extent cx="1381760" cy="1381760"/>
            <wp:effectExtent l="0" t="0" r="8890" b="8890"/>
            <wp:wrapNone/>
            <wp:docPr id="1" name="图片 1" descr="b330166e566acb6c1cfae7f0fac8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30166e566acb6c1cfae7f0fac82a2"/>
                    <pic:cNvPicPr>
                      <a:picLocks noChangeAspect="1"/>
                    </pic:cNvPicPr>
                  </pic:nvPicPr>
                  <pic:blipFill>
                    <a:blip r:embed="rId4"/>
                    <a:stretch>
                      <a:fillRect/>
                    </a:stretch>
                  </pic:blipFill>
                  <pic:spPr>
                    <a:xfrm>
                      <a:off x="0" y="0"/>
                      <a:ext cx="1381760" cy="13817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中国学校生涯规划教育网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2023年10月25日</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center"/>
        <w:textAlignment w:val="auto"/>
        <w:rPr>
          <w:rFonts w:hint="eastAsia" w:ascii="宋体" w:hAnsi="宋体" w:eastAsia="宋体" w:cs="宋体"/>
          <w:b/>
          <w:bCs/>
          <w:sz w:val="24"/>
          <w:szCs w:val="24"/>
          <w:lang w:val="en-US" w:eastAsia="zh-CN"/>
        </w:rPr>
      </w:pPr>
    </w:p>
    <w:p>
      <w:pPr>
        <w:rPr>
          <w:rFonts w:hint="eastAsia" w:ascii="宋体" w:hAnsi="宋体" w:eastAsia="宋体" w:cs="宋体"/>
          <w:b/>
          <w:bCs/>
          <w:color w:val="C00000"/>
          <w:sz w:val="24"/>
          <w:szCs w:val="24"/>
          <w:lang w:eastAsia="zh-CN"/>
        </w:rPr>
      </w:pPr>
    </w:p>
    <w:p>
      <w:pP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eastAsia="zh-CN"/>
        </w:rPr>
        <w:t>附件一：广西师范大学附属中学“</w:t>
      </w:r>
      <w:r>
        <w:rPr>
          <w:rFonts w:hint="eastAsia" w:ascii="宋体" w:hAnsi="宋体" w:eastAsia="宋体" w:cs="宋体"/>
          <w:b/>
          <w:bCs/>
          <w:color w:val="C00000"/>
          <w:sz w:val="24"/>
          <w:szCs w:val="24"/>
        </w:rPr>
        <w:t>生涯</w:t>
      </w:r>
      <w:r>
        <w:rPr>
          <w:rFonts w:hint="eastAsia" w:ascii="宋体" w:hAnsi="宋体" w:eastAsia="宋体" w:cs="宋体"/>
          <w:b/>
          <w:bCs/>
          <w:color w:val="C00000"/>
          <w:sz w:val="24"/>
          <w:szCs w:val="24"/>
          <w:lang w:eastAsia="zh-CN"/>
        </w:rPr>
        <w:t>规划能力</w:t>
      </w:r>
      <w:r>
        <w:rPr>
          <w:rFonts w:hint="eastAsia" w:ascii="宋体" w:hAnsi="宋体" w:eastAsia="宋体" w:cs="宋体"/>
          <w:b/>
          <w:bCs/>
          <w:color w:val="C00000"/>
          <w:sz w:val="24"/>
          <w:szCs w:val="24"/>
        </w:rPr>
        <w:t>大赛</w:t>
      </w:r>
      <w:r>
        <w:rPr>
          <w:rFonts w:hint="eastAsia" w:ascii="宋体" w:hAnsi="宋体" w:eastAsia="宋体" w:cs="宋体"/>
          <w:b/>
          <w:bCs/>
          <w:color w:val="C00000"/>
          <w:sz w:val="24"/>
          <w:szCs w:val="24"/>
          <w:lang w:eastAsia="zh-CN"/>
        </w:rPr>
        <w:t>”介绍</w:t>
      </w:r>
    </w:p>
    <w:p>
      <w:pPr>
        <w:rPr>
          <w:rFonts w:hint="eastAsia" w:ascii="宋体" w:hAnsi="宋体" w:eastAsia="宋体" w:cs="宋体"/>
          <w:b/>
          <w:bCs/>
          <w:color w:val="C00000"/>
          <w:sz w:val="24"/>
          <w:szCs w:val="24"/>
          <w:lang w:eastAsia="zh-CN"/>
        </w:rPr>
      </w:pPr>
      <w:r>
        <w:rPr>
          <w:rFonts w:hint="eastAsia" w:ascii="宋体" w:hAnsi="宋体" w:eastAsia="宋体" w:cs="宋体"/>
          <w:b/>
          <w:bCs/>
          <w:color w:val="C00000"/>
          <w:sz w:val="24"/>
          <w:szCs w:val="24"/>
          <w:lang w:eastAsia="zh-CN"/>
        </w:rPr>
        <w:t>附件二：广西师范大学附属中学生涯特色介绍</w:t>
      </w:r>
    </w:p>
    <w:p>
      <w:pP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eastAsia="zh-CN"/>
        </w:rPr>
        <w:t>附件三</w:t>
      </w:r>
      <w:r>
        <w:rPr>
          <w:rFonts w:hint="eastAsia" w:ascii="宋体" w:hAnsi="宋体" w:eastAsia="宋体" w:cs="宋体"/>
          <w:b/>
          <w:bCs/>
          <w:color w:val="C00000"/>
          <w:sz w:val="24"/>
          <w:szCs w:val="24"/>
          <w:lang w:val="en-US" w:eastAsia="zh-CN"/>
        </w:rPr>
        <w:t>: 报名表</w:t>
      </w:r>
    </w:p>
    <w:p>
      <w:pPr>
        <w:rPr>
          <w:rFonts w:hint="eastAsia" w:ascii="宋体" w:hAnsi="宋体" w:eastAsia="宋体" w:cs="宋体"/>
          <w:b/>
          <w:bCs/>
          <w:color w:val="C00000"/>
          <w:sz w:val="24"/>
          <w:szCs w:val="24"/>
          <w:lang w:val="en-US" w:eastAsia="zh-CN"/>
        </w:rPr>
      </w:pPr>
    </w:p>
    <w:p>
      <w:pPr>
        <w:rPr>
          <w:rFonts w:hint="eastAsia" w:ascii="宋体" w:hAnsi="宋体" w:eastAsia="宋体" w:cs="宋体"/>
          <w:b/>
          <w:bCs/>
          <w:color w:val="C00000"/>
          <w:sz w:val="24"/>
          <w:szCs w:val="24"/>
          <w:lang w:val="en-US" w:eastAsia="zh-CN"/>
        </w:rPr>
      </w:pPr>
    </w:p>
    <w:p>
      <w:pPr>
        <w:rPr>
          <w:rFonts w:hint="eastAsia" w:ascii="宋体" w:hAnsi="宋体" w:eastAsia="宋体" w:cs="宋体"/>
          <w:b/>
          <w:bCs/>
          <w:color w:val="C00000"/>
          <w:sz w:val="24"/>
          <w:szCs w:val="24"/>
          <w:lang w:val="en-US" w:eastAsia="zh-CN"/>
        </w:rPr>
      </w:pPr>
    </w:p>
    <w:p>
      <w:pPr>
        <w:rPr>
          <w:rFonts w:hint="eastAsia" w:ascii="宋体" w:hAnsi="宋体" w:eastAsia="宋体" w:cs="宋体"/>
          <w:b/>
          <w:bCs/>
          <w:color w:val="C00000"/>
          <w:sz w:val="24"/>
          <w:szCs w:val="24"/>
          <w:lang w:val="en-US" w:eastAsia="zh-CN"/>
        </w:rPr>
      </w:pPr>
    </w:p>
    <w:p>
      <w:pPr>
        <w:rPr>
          <w:rFonts w:hint="eastAsia" w:ascii="宋体" w:hAnsi="宋体" w:eastAsia="宋体" w:cs="宋体"/>
          <w:b/>
          <w:bCs/>
          <w:color w:val="C00000"/>
          <w:sz w:val="24"/>
          <w:szCs w:val="24"/>
          <w:lang w:val="en-US" w:eastAsia="zh-CN"/>
        </w:rPr>
      </w:pPr>
    </w:p>
    <w:p>
      <w:pPr>
        <w:rPr>
          <w:rFonts w:hint="eastAsia" w:ascii="宋体" w:hAnsi="宋体" w:eastAsia="宋体" w:cs="宋体"/>
          <w:b/>
          <w:bCs/>
          <w:color w:val="C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C00000"/>
          <w:sz w:val="30"/>
          <w:szCs w:val="30"/>
        </w:rPr>
      </w:pPr>
      <w:r>
        <w:rPr>
          <w:rFonts w:hint="eastAsia" w:ascii="宋体" w:hAnsi="宋体" w:eastAsia="宋体" w:cs="宋体"/>
          <w:b/>
          <w:bCs/>
          <w:color w:val="C00000"/>
          <w:sz w:val="30"/>
          <w:szCs w:val="30"/>
          <w:lang w:eastAsia="zh-CN"/>
        </w:rPr>
        <w:t>广西师范大学附属中学“学生</w:t>
      </w:r>
      <w:r>
        <w:rPr>
          <w:rFonts w:hint="eastAsia" w:ascii="宋体" w:hAnsi="宋体" w:eastAsia="宋体" w:cs="宋体"/>
          <w:b/>
          <w:bCs/>
          <w:color w:val="C00000"/>
          <w:sz w:val="30"/>
          <w:szCs w:val="30"/>
        </w:rPr>
        <w:t>生涯</w:t>
      </w:r>
      <w:r>
        <w:rPr>
          <w:rFonts w:hint="eastAsia" w:ascii="宋体" w:hAnsi="宋体" w:eastAsia="宋体" w:cs="宋体"/>
          <w:b/>
          <w:bCs/>
          <w:color w:val="C00000"/>
          <w:sz w:val="30"/>
          <w:szCs w:val="30"/>
          <w:lang w:eastAsia="zh-CN"/>
        </w:rPr>
        <w:t>规划能力</w:t>
      </w:r>
      <w:r>
        <w:rPr>
          <w:rFonts w:hint="eastAsia" w:ascii="宋体" w:hAnsi="宋体" w:eastAsia="宋体" w:cs="宋体"/>
          <w:b/>
          <w:bCs/>
          <w:color w:val="C00000"/>
          <w:sz w:val="30"/>
          <w:szCs w:val="30"/>
        </w:rPr>
        <w:t>大赛</w:t>
      </w:r>
      <w:r>
        <w:rPr>
          <w:rFonts w:hint="eastAsia" w:ascii="宋体" w:hAnsi="宋体" w:eastAsia="宋体" w:cs="宋体"/>
          <w:b/>
          <w:bCs/>
          <w:color w:val="C00000"/>
          <w:sz w:val="30"/>
          <w:szCs w:val="30"/>
          <w:lang w:eastAsia="zh-CN"/>
        </w:rPr>
        <w:t>”</w:t>
      </w:r>
      <w:r>
        <w:rPr>
          <w:rFonts w:hint="eastAsia" w:ascii="宋体" w:hAnsi="宋体" w:eastAsia="宋体" w:cs="宋体"/>
          <w:b/>
          <w:bCs/>
          <w:color w:val="C00000"/>
          <w:sz w:val="30"/>
          <w:szCs w:val="30"/>
        </w:rPr>
        <w:t>介绍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C00000"/>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一、大赛目的</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为展示生涯规划社团建设成果和学生生涯规划素养</w:t>
      </w:r>
      <w:r>
        <w:rPr>
          <w:rFonts w:hint="eastAsia" w:ascii="宋体" w:hAnsi="宋体" w:eastAsia="宋体" w:cs="宋体"/>
          <w:sz w:val="24"/>
          <w:szCs w:val="24"/>
          <w:lang w:eastAsia="zh-CN"/>
        </w:rPr>
        <w:t>、</w:t>
      </w:r>
      <w:r>
        <w:rPr>
          <w:rFonts w:hint="eastAsia" w:ascii="宋体" w:hAnsi="宋体" w:eastAsia="宋体" w:cs="宋体"/>
          <w:sz w:val="24"/>
          <w:szCs w:val="24"/>
        </w:rPr>
        <w:t>传播</w:t>
      </w:r>
      <w:r>
        <w:rPr>
          <w:rFonts w:hint="eastAsia" w:ascii="宋体" w:hAnsi="宋体" w:eastAsia="宋体" w:cs="宋体"/>
          <w:sz w:val="24"/>
          <w:szCs w:val="24"/>
          <w:lang w:val="en-US" w:eastAsia="zh-CN"/>
        </w:rPr>
        <w:t>生涯规划理念、</w:t>
      </w:r>
      <w:r>
        <w:rPr>
          <w:rFonts w:hint="eastAsia" w:ascii="宋体" w:hAnsi="宋体" w:eastAsia="宋体" w:cs="宋体"/>
          <w:sz w:val="24"/>
          <w:szCs w:val="24"/>
        </w:rPr>
        <w:t>普及生涯规划</w:t>
      </w:r>
      <w:r>
        <w:rPr>
          <w:rFonts w:hint="eastAsia" w:ascii="宋体" w:hAnsi="宋体" w:eastAsia="宋体" w:cs="宋体"/>
          <w:sz w:val="24"/>
          <w:szCs w:val="24"/>
          <w:lang w:val="en-US" w:eastAsia="zh-CN"/>
        </w:rPr>
        <w:t>知识；</w:t>
      </w:r>
      <w:r>
        <w:rPr>
          <w:rFonts w:hint="eastAsia" w:ascii="宋体" w:hAnsi="宋体" w:eastAsia="宋体" w:cs="宋体"/>
          <w:sz w:val="24"/>
          <w:szCs w:val="24"/>
        </w:rPr>
        <w:t>帮助学生掌握生涯规划的基本方法，引导学生树立主动规划、自我发展的意识，</w:t>
      </w:r>
      <w:r>
        <w:rPr>
          <w:rFonts w:hint="eastAsia" w:ascii="宋体" w:hAnsi="宋体" w:eastAsia="宋体" w:cs="宋体"/>
          <w:sz w:val="24"/>
          <w:szCs w:val="24"/>
          <w:lang w:val="en-US" w:eastAsia="zh-CN"/>
        </w:rPr>
        <w:t>激发学生学习主动性，引导学生</w:t>
      </w:r>
      <w:r>
        <w:rPr>
          <w:rFonts w:hint="eastAsia" w:ascii="宋体" w:hAnsi="宋体" w:eastAsia="宋体" w:cs="宋体"/>
          <w:sz w:val="24"/>
          <w:szCs w:val="24"/>
        </w:rPr>
        <w:t>了解自我</w:t>
      </w:r>
      <w:r>
        <w:rPr>
          <w:rFonts w:hint="eastAsia" w:ascii="宋体" w:hAnsi="宋体" w:eastAsia="宋体" w:cs="宋体"/>
          <w:sz w:val="24"/>
          <w:szCs w:val="24"/>
          <w:lang w:eastAsia="zh-CN"/>
        </w:rPr>
        <w:t>，</w:t>
      </w:r>
      <w:r>
        <w:rPr>
          <w:rFonts w:hint="eastAsia" w:ascii="宋体" w:hAnsi="宋体" w:eastAsia="宋体" w:cs="宋体"/>
          <w:sz w:val="24"/>
          <w:szCs w:val="24"/>
        </w:rPr>
        <w:t>感受社会环境，树立</w:t>
      </w:r>
      <w:r>
        <w:rPr>
          <w:rFonts w:hint="eastAsia" w:ascii="宋体" w:hAnsi="宋体" w:eastAsia="宋体" w:cs="宋体"/>
          <w:sz w:val="24"/>
          <w:szCs w:val="24"/>
          <w:lang w:eastAsia="zh-CN"/>
        </w:rPr>
        <w:t>远大志向</w:t>
      </w:r>
      <w:r>
        <w:rPr>
          <w:rFonts w:hint="eastAsia" w:ascii="宋体" w:hAnsi="宋体" w:eastAsia="宋体" w:cs="宋体"/>
          <w:sz w:val="24"/>
          <w:szCs w:val="24"/>
        </w:rPr>
        <w:t>，为</w:t>
      </w:r>
      <w:r>
        <w:rPr>
          <w:rFonts w:hint="eastAsia" w:ascii="宋体" w:hAnsi="宋体" w:eastAsia="宋体" w:cs="宋体"/>
          <w:sz w:val="24"/>
          <w:szCs w:val="24"/>
          <w:lang w:val="en-US" w:eastAsia="zh-CN"/>
        </w:rPr>
        <w:t>人生</w:t>
      </w:r>
      <w:r>
        <w:rPr>
          <w:rFonts w:hint="eastAsia" w:ascii="宋体" w:hAnsi="宋体" w:eastAsia="宋体" w:cs="宋体"/>
          <w:sz w:val="24"/>
          <w:szCs w:val="24"/>
        </w:rPr>
        <w:t>持续发展打下坚实的基础</w:t>
      </w:r>
      <w:r>
        <w:rPr>
          <w:rFonts w:hint="eastAsia" w:ascii="宋体" w:hAnsi="宋体" w:eastAsia="宋体" w:cs="宋体"/>
          <w:sz w:val="24"/>
          <w:szCs w:val="24"/>
          <w:lang w:eastAsia="zh-CN"/>
        </w:rPr>
        <w:t>。</w:t>
      </w:r>
      <w:r>
        <w:rPr>
          <w:rFonts w:hint="eastAsia" w:ascii="宋体" w:hAnsi="宋体" w:eastAsia="宋体" w:cs="宋体"/>
          <w:sz w:val="24"/>
          <w:szCs w:val="24"/>
        </w:rPr>
        <w:t>学校决定举行“学生生涯规划能力</w:t>
      </w:r>
      <w:r>
        <w:rPr>
          <w:rFonts w:hint="eastAsia" w:ascii="宋体" w:hAnsi="宋体" w:eastAsia="宋体" w:cs="宋体"/>
          <w:sz w:val="24"/>
          <w:szCs w:val="24"/>
          <w:lang w:eastAsia="zh-CN"/>
        </w:rPr>
        <w:t>演讲</w:t>
      </w:r>
      <w:r>
        <w:rPr>
          <w:rFonts w:hint="eastAsia" w:ascii="宋体" w:hAnsi="宋体" w:eastAsia="宋体" w:cs="宋体"/>
          <w:sz w:val="24"/>
          <w:szCs w:val="24"/>
        </w:rPr>
        <w:t>大赛”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二、大赛主题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“规划精彩人生、实现自主发展”。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、参赛对象</w:t>
      </w:r>
      <w:r>
        <w:rPr>
          <w:rFonts w:hint="eastAsia" w:ascii="宋体" w:hAnsi="宋体" w:eastAsia="宋体" w:cs="宋体"/>
          <w:sz w:val="24"/>
          <w:szCs w:val="24"/>
          <w:lang w:eastAsia="zh-CN"/>
        </w:rPr>
        <w:t>及观摩嘉宾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参赛对象：广西师范大学附属中学</w:t>
      </w:r>
      <w:r>
        <w:rPr>
          <w:rFonts w:hint="eastAsia" w:ascii="宋体" w:hAnsi="宋体" w:eastAsia="宋体" w:cs="宋体"/>
          <w:sz w:val="24"/>
          <w:szCs w:val="24"/>
          <w:lang w:val="en-US" w:eastAsia="zh-CN"/>
        </w:rPr>
        <w:t>学生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观摩嘉宾：省</w:t>
      </w:r>
      <w:r>
        <w:rPr>
          <w:rFonts w:hint="eastAsia" w:ascii="宋体" w:hAnsi="宋体" w:eastAsia="宋体" w:cs="宋体"/>
          <w:sz w:val="24"/>
          <w:szCs w:val="24"/>
          <w:lang w:val="en-US" w:eastAsia="zh-CN"/>
        </w:rPr>
        <w:t>内</w:t>
      </w:r>
      <w:r>
        <w:rPr>
          <w:rFonts w:hint="eastAsia" w:ascii="宋体" w:hAnsi="宋体" w:eastAsia="宋体" w:cs="宋体"/>
          <w:sz w:val="24"/>
          <w:szCs w:val="24"/>
          <w:lang w:eastAsia="zh-CN"/>
        </w:rPr>
        <w:t>外高、初中</w:t>
      </w:r>
      <w:r>
        <w:rPr>
          <w:rFonts w:hint="eastAsia" w:ascii="宋体" w:hAnsi="宋体" w:eastAsia="宋体" w:cs="宋体"/>
          <w:sz w:val="24"/>
          <w:szCs w:val="24"/>
          <w:lang w:val="en-US" w:eastAsia="zh-CN"/>
        </w:rPr>
        <w:t>代表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生涯教育工作者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四、大</w:t>
      </w:r>
      <w:r>
        <w:rPr>
          <w:rFonts w:hint="eastAsia" w:ascii="宋体" w:hAnsi="宋体" w:eastAsia="宋体" w:cs="宋体"/>
          <w:sz w:val="24"/>
          <w:szCs w:val="24"/>
        </w:rPr>
        <w:t>赛</w:t>
      </w:r>
      <w:r>
        <w:rPr>
          <w:rFonts w:hint="eastAsia" w:ascii="宋体" w:hAnsi="宋体" w:eastAsia="宋体" w:cs="宋体"/>
          <w:sz w:val="24"/>
          <w:szCs w:val="24"/>
          <w:lang w:val="en-US" w:eastAsia="zh-CN"/>
        </w:rPr>
        <w:t>阶段与要求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1、本次大赛分为初赛和决赛两个阶段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2023年10月：初赛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2023年12月：决赛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2.参赛作品要求：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团队作品：视频展示---“我们的团队”（可以某某团（队）命名），介绍团队的名称、学校与队员、参赛作品主题、形式、内容等。内容主要围绕团队的人生规划或学业规划探索展开，比如：职业访谈、学业教育、升学途径选择等。要求进行视频录制，视频时间2分钟内。如入选决赛，则需要在决赛现场表演该设计，表演时间限制10分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个人作品：提交生涯规划书一份（字数在4000以内）。生涯规划书主题可以选择“我的人生我做主”、“我的大学梦”、“我的专业我选择”、“我的职业梦”等，规划书内容要求能够反映当代中学生的开拓创新，积极进取的精神风貌，题目可自拟，鼓励创意。如入选决赛，则需要把生涯规划书改成演讲稿，在决赛现场演讲，演讲时间控制在10分钟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五、评比办法：评委现场点评、打分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六、活动要求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1.预赛阶段：每个生涯规划细分社团准备本社团风采展示的课件，学校生涯规划中心对课件进行评比，获得一等奖的20个社团进入初赛。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2.初赛阶段：课件获得一等奖的20个生涯规划细分社团进行社团风采展示演讲，评选出特等奖10个社团进入决赛。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3.决赛阶段：获得特等奖的10个生涯规划细分社团社长结合社团风采展示，演讲个人的生涯规划，评选出5位学生生涯规划能力大赛“生涯规划之星”。</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center"/>
        <w:textAlignment w:val="auto"/>
        <w:rPr>
          <w:rFonts w:hint="default" w:ascii="宋体" w:hAnsi="宋体" w:eastAsia="宋体" w:cs="宋体"/>
          <w:b/>
          <w:bCs/>
          <w:color w:val="C00000"/>
          <w:sz w:val="32"/>
          <w:szCs w:val="32"/>
          <w:lang w:val="en-US" w:eastAsia="zh-CN"/>
        </w:rPr>
      </w:pPr>
      <w:r>
        <w:rPr>
          <w:rFonts w:hint="eastAsia" w:ascii="宋体" w:hAnsi="宋体" w:eastAsia="宋体" w:cs="宋体"/>
          <w:b/>
          <w:bCs/>
          <w:color w:val="C00000"/>
          <w:sz w:val="30"/>
          <w:szCs w:val="30"/>
          <w:lang w:val="en-US" w:eastAsia="zh-CN"/>
        </w:rPr>
        <w:t>广西师范大学附属中学特色介绍</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1、名校名誉</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师范大学附属中学建于1941年，是一所办学历史悠久、文化积淀深厚、享誉区内外的公办品牌学校。学校校歌由国歌词作者田汉先生及其夫人安娥女士当年在校任教时共同创作。学校于1954年被确定为广西10所重点中学之一，2003年成为广西首批20所示范性普通高中之一，2015年获得广西首批科技人才培养特色普通高中称号，学校成为广西同时具有“广西首批示范性普通高中”“广西首批一星级特色普通高中”两项称号的重点高中。</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教育教学成绩突出，学校先后被授予全国中小学德育先进集体、全国消防安全教育示范学校、中国基础教育网络实验学校、全国语文学习科学实验学校、全国基础外语教育百校工程项目实验学校、中国培养未来科学家计划教育基地、全国科技教育创新优秀学校，并获自治区文明单位、自治区校园文化建设先进单位、自治区家庭教育先进单位、广西教育科研先进单位、自治区卫生优秀学校、桂林市清华北大园丁奖等多项荣誉称号。</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2、教育理念先进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以廖宏伟书记、李林波校长为首的学校领导班子，奋发有为，理念先进，战斗力强。学校秉承“明德至善，博学笃行”的校训，以“立德树人，全人发展”为办学思想，以“以生为本，五育并举，质量强校，发展特色”为办学理念，以“学会做人，学会学习，学会生活，学会合作，学会健体，学会创造”为育人目标，以“养正、养智、养全”为校风，以“立人、立新、立言”为教风，以“向善、向上、向真”为学风。学校贯彻“五育并举”育人理念，深入推行“思维+课堂”“三新”改革，培养德智体美劳全面发展的社会主义建设者和接班人。  </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3、师资力量雄厚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师资力量雄厚，有专职教师202人，其中高级教师72人，博士3人，硕士、教育硕士及研究生班学历78人，特级教师5人，正高级教师6人，国家骨干教师3人，全国优秀教师4人，广西基础教育名师4人，广西师范大学教育硕士兼职导师5人。近年来，学校获得自治区教学成果奖9项，桂林市教学成果奖12项；国家级科研课题3项，区级科研课题15项，桂林市级科研课题72项。有一批教师荣获广西区、桂林市学科带头人、教学能手的荣誉称号，部分老师兼职桂林市教科所教研员工作，为桂林市教育教学工作发挥示范带头作用。</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4、高考成绩优异</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教育教学成绩显著，历年高考成绩位于广西前列。自1981年以来，学校培养出曾楚凤（高考文科状元）、高劲（高考文科状元）、邓宜滨（高考外语类状元）、林媛（高考理科状元）、王蔚（高考文科状元）、秦道明（高考理科状元）等6位广西高考状元，是广西培养高考状元人数排名前五名的学校，是2015年北京大学和清华大学认定的广西十大名校之一。学校向北京大学、清华大学、复旦大学、浙江大学、中国人民大学、上海交通大学、香港大学等名优高校输送了一大批优秀学子，连续多年被清华大学认定为生源基地校。</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5、思维力发展研究中心</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激发每个学生的优势潜能，为学生提供更多的学习机会和自由发展空间，探索高中拔尖创新性人才培养模式，形成具有附中特色的拔尖人才的培养途径，学校成立了思维力发展研究中心。思维力发展研究中心由一批年轻有冲劲有才华的老师组成奥赛培训团队，且有广西师范大学各学院名教授、名导师加持，助力学优生在思维、视野和探索能力等方面迅速提升。2022年在第39届全国中学生物理竞赛中，有四位同学荣获全国中学生物理竞赛省区一等奖；在31届全国中学生生物学科奥林匹克决赛中，姚翔天同学荣获省区一等奖，并作为广西代表队成员参加全国决赛，斩获全国铜奖。</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6、奖助学金完备</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为鼓励争优，学校设立“郁钧剑奖学金” (每年设学习成绩优秀奖1000元/人，中考成绩优秀奖1000元人，学科竞赛优秀奖1000元/人) ；企业家励志奖学金(每年3000元/人) ；慧远奖学金(奖励品学兼优学子每年1000元1500年/人) 。对需要帮助的同学设有助学金，国家助学金(每年一等3500元/人， 二等1000元/人) ；新勤业公司爱心助学金(每学期1300元/人) ；中央专项彩票公益金滋蕙计划(每年2000元/人) ；库区移民子女免学费(每学期590元/人) ；计划内招收的指令性民族班学生享受国家二等助学金每学期500元/人，属于脱贫户、低保户的民族班学生可享受国家一等助学 金补贴每学期1750元/人。</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7、校园设施先进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校门雄伟气派，拥有现代化、标准化的田径运动场。学校现有科技制作室2间，科学探究室1间，创客空间1间，机器人工作室2间，科技资料中心1间。为配套“科技创新人才培养班”教学工作，学校建设了3个高端教学功能室（惠普数学实验室，地理科学探究实验室，美术专用画室），综合楼配备室内体育场，科技探究、人工智能实验室，美术教室、音乐教室、书法教室、乐器房、舞蹈房、古琴教室，各类设施一应俱全。</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8、科技创新特色</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以“科技创新课程”为核心，整合学校各学科，配套组织、制度、理论、环境、活动、评价建设，实现以点带面，全面育人的人才培养模式。围绕“学生科技创新人才培养”的总体目标，学校精心打造四位一体的育人体系----“课程育人”“活动育人”“评价育人”“环境育人”。学校确立了以“建立科学的课程体系，激发每一位学生的创新潜能”作为我校创建“科技创新人才培养”课程整合教育模式的总目标，变“精英学生创新能力培养”为“面向全体学生的创新素养培养”，培养面向世界、面向未来并具有创新素养的优秀人才。</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9、文化氛围浓厚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德至善、博学进取、尊师重教、和谐包容、团结互助的校园文化，熏陶着在附中求学的每一位学子。学校建设“三园两馆”项目，即田汉园、拜师园、民族园、校史新馆、叶侣梅展览馆，对涵养师生爱校爱国情怀、尊师重教、追求卓越等起到很好的引领促进作用。学校创办21个学生社团，通过开展丰富多彩的社团活动提升学生综合能力，学校定期开展书香班级比赛、宿舍美化大赛、跑操比赛、球类比赛；举办校动会、民族运动会、趣味运动会、迎新晚会、合唱比赛、校园辩论赛、主持人大赛、文艺之星大赛、课本剧比赛、经典诵读比赛等文化建设活动，深受学生喜爱。</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10、生涯发展中心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中心由接待室、阅读区、办公室、个性辅导室、测评室、沙盘室和活动室等七个功能室组成，将生涯教育和心理教育融为一体，旨在打造学生生涯发展指导和学生心理健康教育的主阵地。通过开展生涯课程、生涯社团、大学与专业嘉年华、职业讲师团、生涯主题班会、家长讲学团、校友交流会、教师生涯体验展示会、生涯游园会、学生职业生涯体验日、兴趣性格自我探索活动周、生涯规划能力演讲比赛、未来专业背景下的研究性学习等活动，让学生更好地认识自我，了解社会，科学决策，成就更好的自己）</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p>
    <w:p>
      <w:pPr>
        <w:jc w:val="center"/>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b/>
          <w:bCs/>
          <w:sz w:val="32"/>
          <w:szCs w:val="32"/>
          <w:lang w:eastAsia="zh-CN"/>
        </w:rPr>
        <w:t>第三届</w:t>
      </w:r>
      <w:r>
        <w:rPr>
          <w:rFonts w:hint="eastAsia" w:ascii="仿宋_GB2312" w:hAnsi="仿宋_GB2312" w:eastAsia="仿宋_GB2312" w:cs="仿宋_GB2312"/>
          <w:b/>
          <w:bCs/>
          <w:sz w:val="32"/>
          <w:szCs w:val="32"/>
        </w:rPr>
        <w:t>全国中学生涯规划教育学术年会</w:t>
      </w:r>
      <w:r>
        <w:rPr>
          <w:rFonts w:hint="eastAsia" w:ascii="楷体_GB2312" w:hAnsi="楷体_GB2312" w:eastAsia="楷体_GB2312" w:cs="楷体_GB2312"/>
          <w:b/>
          <w:bCs/>
          <w:sz w:val="32"/>
          <w:szCs w:val="32"/>
          <w:lang w:eastAsia="zh-CN"/>
        </w:rPr>
        <w:t>活动报名表</w:t>
      </w:r>
    </w:p>
    <w:tbl>
      <w:tblPr>
        <w:tblStyle w:val="4"/>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78"/>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7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0"/>
                <w:kern w:val="0"/>
                <w:sz w:val="24"/>
                <w:szCs w:val="24"/>
                <w:fitText w:val="720" w:id="1064066116"/>
              </w:rPr>
              <w:t>单</w:t>
            </w:r>
            <w:r>
              <w:rPr>
                <w:rFonts w:hint="eastAsia" w:ascii="仿宋_GB2312" w:hAnsi="仿宋_GB2312" w:eastAsia="仿宋_GB2312" w:cs="仿宋_GB2312"/>
                <w:color w:val="auto"/>
                <w:spacing w:val="0"/>
                <w:kern w:val="0"/>
                <w:sz w:val="24"/>
                <w:szCs w:val="24"/>
                <w:fitText w:val="720" w:id="1064066116"/>
              </w:rPr>
              <w:t>位</w:t>
            </w:r>
          </w:p>
          <w:p>
            <w:pPr>
              <w:jc w:val="center"/>
              <w:rPr>
                <w:rFonts w:hint="eastAsia"/>
                <w:color w:val="auto"/>
                <w:sz w:val="24"/>
                <w:szCs w:val="24"/>
              </w:rPr>
            </w:pPr>
            <w:r>
              <w:rPr>
                <w:rFonts w:hint="eastAsia" w:ascii="仿宋_GB2312" w:hAnsi="仿宋_GB2312" w:eastAsia="仿宋_GB2312" w:cs="仿宋_GB2312"/>
                <w:color w:val="auto"/>
                <w:spacing w:val="120"/>
                <w:kern w:val="0"/>
                <w:sz w:val="24"/>
                <w:szCs w:val="24"/>
                <w:fitText w:val="720" w:id="1320033518"/>
                <w:lang w:eastAsia="zh-CN"/>
              </w:rPr>
              <w:t>名</w:t>
            </w:r>
            <w:r>
              <w:rPr>
                <w:rFonts w:hint="eastAsia" w:ascii="仿宋_GB2312" w:hAnsi="仿宋_GB2312" w:eastAsia="仿宋_GB2312" w:cs="仿宋_GB2312"/>
                <w:color w:val="auto"/>
                <w:spacing w:val="0"/>
                <w:kern w:val="0"/>
                <w:sz w:val="24"/>
                <w:szCs w:val="24"/>
                <w:fitText w:val="720" w:id="1320033518"/>
                <w:lang w:eastAsia="zh-CN"/>
              </w:rPr>
              <w:t>称</w:t>
            </w:r>
          </w:p>
        </w:tc>
        <w:tc>
          <w:tcPr>
            <w:tcW w:w="8668" w:type="dxa"/>
            <w:gridSpan w:val="7"/>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77"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纳税人识别号</w:t>
            </w:r>
          </w:p>
        </w:tc>
        <w:tc>
          <w:tcPr>
            <w:tcW w:w="8668" w:type="dxa"/>
            <w:gridSpan w:val="7"/>
            <w:noWrap w:val="0"/>
            <w:vAlign w:val="center"/>
          </w:tcPr>
          <w:p>
            <w:pPr>
              <w:jc w:val="both"/>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77" w:type="dxa"/>
            <w:noWrap w:val="0"/>
            <w:vAlign w:val="center"/>
          </w:tcPr>
          <w:p>
            <w:pPr>
              <w:jc w:val="both"/>
              <w:rPr>
                <w:rFonts w:hint="eastAsia" w:ascii="仿宋_GB2312" w:hAnsi="仿宋_GB2312" w:eastAsia="仿宋_GB2312" w:cs="仿宋_GB2312"/>
                <w:color w:val="auto"/>
                <w:sz w:val="24"/>
                <w:szCs w:val="24"/>
                <w:lang w:eastAsia="zh-CN"/>
              </w:rPr>
            </w:pPr>
            <w:r>
              <w:rPr>
                <w:rFonts w:hint="eastAsia" w:ascii="仿宋" w:hAnsi="仿宋" w:eastAsia="仿宋" w:cs="仿宋"/>
                <w:color w:val="auto"/>
                <w:sz w:val="24"/>
                <w:szCs w:val="24"/>
                <w:lang w:eastAsia="zh-CN"/>
              </w:rPr>
              <w:t>开户行</w:t>
            </w:r>
            <w:r>
              <w:rPr>
                <w:rFonts w:hint="eastAsia" w:ascii="仿宋_GB2312" w:hAnsi="仿宋_GB2312" w:eastAsia="仿宋_GB2312" w:cs="仿宋_GB2312"/>
                <w:color w:val="auto"/>
                <w:sz w:val="24"/>
                <w:szCs w:val="24"/>
                <w:lang w:eastAsia="zh-CN"/>
              </w:rPr>
              <w:t>及账号</w:t>
            </w:r>
          </w:p>
        </w:tc>
        <w:tc>
          <w:tcPr>
            <w:tcW w:w="8668" w:type="dxa"/>
            <w:gridSpan w:val="7"/>
            <w:noWrap w:val="0"/>
            <w:vAlign w:val="center"/>
          </w:tcPr>
          <w:p>
            <w:pPr>
              <w:jc w:val="both"/>
              <w:rPr>
                <w:rFonts w:hint="eastAsia"/>
                <w:color w:val="auto"/>
                <w:sz w:val="24"/>
                <w:szCs w:val="24"/>
              </w:rPr>
            </w:pPr>
            <w:r>
              <w:rPr>
                <w:rFonts w:hint="eastAsia" w:ascii="仿宋_GB2312" w:hAnsi="仿宋_GB2312" w:eastAsia="仿宋_GB2312" w:cs="仿宋_GB2312"/>
                <w:color w:val="auto"/>
                <w:sz w:val="24"/>
                <w:szCs w:val="24"/>
                <w:lang w:eastAsia="zh-CN"/>
              </w:rPr>
              <w:t>由本单位会计填写（如不需要可以不填）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77"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20"/>
                <w:kern w:val="0"/>
                <w:sz w:val="24"/>
                <w:szCs w:val="24"/>
                <w:fitText w:val="720" w:id="1851615015"/>
                <w:lang w:eastAsia="zh-CN"/>
              </w:rPr>
              <w:t>邮</w:t>
            </w:r>
            <w:r>
              <w:rPr>
                <w:rFonts w:hint="eastAsia" w:ascii="仿宋_GB2312" w:hAnsi="仿宋_GB2312" w:eastAsia="仿宋_GB2312" w:cs="仿宋_GB2312"/>
                <w:color w:val="auto"/>
                <w:spacing w:val="0"/>
                <w:kern w:val="0"/>
                <w:sz w:val="24"/>
                <w:szCs w:val="24"/>
                <w:fitText w:val="720" w:id="1851615015"/>
                <w:lang w:eastAsia="zh-CN"/>
              </w:rPr>
              <w:t>寄</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20"/>
                <w:kern w:val="0"/>
                <w:sz w:val="24"/>
                <w:szCs w:val="24"/>
                <w:fitText w:val="720" w:id="1550010598"/>
              </w:rPr>
              <w:t>地</w:t>
            </w:r>
            <w:r>
              <w:rPr>
                <w:rFonts w:hint="eastAsia" w:ascii="仿宋_GB2312" w:hAnsi="仿宋_GB2312" w:eastAsia="仿宋_GB2312" w:cs="仿宋_GB2312"/>
                <w:color w:val="auto"/>
                <w:spacing w:val="0"/>
                <w:kern w:val="0"/>
                <w:sz w:val="24"/>
                <w:szCs w:val="24"/>
                <w:fitText w:val="720" w:id="1550010598"/>
              </w:rPr>
              <w:t>址</w:t>
            </w:r>
          </w:p>
        </w:tc>
        <w:tc>
          <w:tcPr>
            <w:tcW w:w="4343" w:type="dxa"/>
            <w:gridSpan w:val="4"/>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r>
              <w:rPr>
                <w:rFonts w:hint="eastAsia" w:ascii="仿宋_GB2312" w:hAnsi="仿宋_GB2312" w:eastAsia="仿宋_GB2312" w:cs="仿宋_GB2312"/>
                <w:sz w:val="24"/>
              </w:rPr>
              <w:t>邮编</w:t>
            </w: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7" w:type="dxa"/>
            <w:vMerge w:val="restart"/>
            <w:noWrap w:val="0"/>
            <w:vAlign w:val="center"/>
          </w:tcPr>
          <w:p>
            <w:pPr>
              <w:jc w:val="center"/>
              <w:rPr>
                <w:rFonts w:hint="eastAsia"/>
                <w:sz w:val="24"/>
                <w:szCs w:val="24"/>
              </w:rPr>
            </w:pPr>
            <w:r>
              <w:rPr>
                <w:rFonts w:hint="eastAsia" w:ascii="仿宋_GB2312" w:hAnsi="仿宋_GB2312" w:eastAsia="仿宋_GB2312" w:cs="仿宋_GB2312"/>
                <w:sz w:val="24"/>
                <w:szCs w:val="24"/>
              </w:rPr>
              <w:t>带队</w:t>
            </w:r>
          </w:p>
        </w:tc>
        <w:tc>
          <w:tcPr>
            <w:tcW w:w="1178" w:type="dxa"/>
            <w:noWrap w:val="0"/>
            <w:vAlign w:val="center"/>
          </w:tcPr>
          <w:p>
            <w:pPr>
              <w:jc w:val="center"/>
              <w:rPr>
                <w:rFonts w:hint="eastAsia"/>
                <w:sz w:val="24"/>
                <w:szCs w:val="24"/>
              </w:rPr>
            </w:pPr>
            <w:r>
              <w:rPr>
                <w:rFonts w:hint="eastAsia" w:ascii="仿宋_GB2312" w:hAnsi="仿宋_GB2312" w:eastAsia="仿宋_GB2312" w:cs="仿宋_GB2312"/>
                <w:sz w:val="24"/>
                <w:szCs w:val="24"/>
              </w:rPr>
              <w:t>姓名</w:t>
            </w:r>
          </w:p>
        </w:tc>
        <w:tc>
          <w:tcPr>
            <w:tcW w:w="530" w:type="dxa"/>
            <w:noWrap w:val="0"/>
            <w:vAlign w:val="center"/>
          </w:tcPr>
          <w:p>
            <w:pPr>
              <w:jc w:val="center"/>
              <w:rPr>
                <w:rFonts w:hint="eastAsia"/>
                <w:sz w:val="24"/>
                <w:szCs w:val="24"/>
              </w:rPr>
            </w:pPr>
            <w:r>
              <w:rPr>
                <w:rFonts w:hint="eastAsia" w:ascii="仿宋_GB2312" w:hAnsi="仿宋_GB2312" w:eastAsia="仿宋_GB2312" w:cs="仿宋_GB2312"/>
                <w:sz w:val="24"/>
                <w:szCs w:val="24"/>
              </w:rPr>
              <w:t>性别</w:t>
            </w:r>
          </w:p>
        </w:tc>
        <w:tc>
          <w:tcPr>
            <w:tcW w:w="885" w:type="dxa"/>
            <w:noWrap w:val="0"/>
            <w:vAlign w:val="center"/>
          </w:tcPr>
          <w:p>
            <w:pPr>
              <w:jc w:val="center"/>
              <w:rPr>
                <w:rFonts w:hint="eastAsia"/>
                <w:sz w:val="24"/>
                <w:szCs w:val="24"/>
              </w:rPr>
            </w:pPr>
            <w:r>
              <w:rPr>
                <w:rFonts w:hint="eastAsia" w:ascii="仿宋_GB2312" w:hAnsi="仿宋_GB2312" w:eastAsia="仿宋_GB2312" w:cs="仿宋_GB2312"/>
                <w:sz w:val="24"/>
                <w:szCs w:val="24"/>
              </w:rPr>
              <w:t>职务</w:t>
            </w:r>
          </w:p>
        </w:tc>
        <w:tc>
          <w:tcPr>
            <w:tcW w:w="1750" w:type="dxa"/>
            <w:noWrap w:val="0"/>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1620" w:type="dxa"/>
            <w:noWrap w:val="0"/>
            <w:vAlign w:val="center"/>
          </w:tcPr>
          <w:p>
            <w:pPr>
              <w:jc w:val="center"/>
              <w:rPr>
                <w:rFonts w:hint="eastAsia"/>
                <w:sz w:val="24"/>
                <w:szCs w:val="24"/>
              </w:rPr>
            </w:pPr>
            <w:r>
              <w:rPr>
                <w:rFonts w:hint="eastAsia" w:ascii="仿宋_GB2312" w:hAnsi="仿宋_GB2312" w:eastAsia="仿宋_GB2312" w:cs="仿宋_GB2312"/>
                <w:sz w:val="24"/>
                <w:szCs w:val="24"/>
              </w:rPr>
              <w:t>手机</w:t>
            </w:r>
          </w:p>
        </w:tc>
        <w:tc>
          <w:tcPr>
            <w:tcW w:w="675" w:type="dxa"/>
            <w:noWrap w:val="0"/>
            <w:vAlign w:val="center"/>
          </w:tcPr>
          <w:p>
            <w:pPr>
              <w:jc w:val="center"/>
              <w:rPr>
                <w:rFonts w:hint="eastAsia"/>
                <w:sz w:val="24"/>
                <w:szCs w:val="24"/>
              </w:rPr>
            </w:pPr>
            <w:r>
              <w:rPr>
                <w:rFonts w:hint="eastAsia"/>
                <w:sz w:val="24"/>
                <w:szCs w:val="24"/>
              </w:rPr>
              <w:t>QQ</w:t>
            </w:r>
          </w:p>
        </w:tc>
        <w:tc>
          <w:tcPr>
            <w:tcW w:w="2030"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continue"/>
            <w:noWrap w:val="0"/>
            <w:vAlign w:val="center"/>
          </w:tcPr>
          <w:p>
            <w:pPr>
              <w:jc w:val="center"/>
              <w:rPr>
                <w:rFonts w:hint="eastAsia"/>
                <w:sz w:val="24"/>
                <w:szCs w:val="24"/>
              </w:rPr>
            </w:pPr>
          </w:p>
        </w:tc>
        <w:tc>
          <w:tcPr>
            <w:tcW w:w="1178" w:type="dxa"/>
            <w:noWrap w:val="0"/>
            <w:vAlign w:val="center"/>
          </w:tcPr>
          <w:p>
            <w:pPr>
              <w:jc w:val="both"/>
              <w:rPr>
                <w:rFonts w:hint="eastAsia"/>
                <w:sz w:val="24"/>
                <w:szCs w:val="24"/>
              </w:rPr>
            </w:pPr>
          </w:p>
        </w:tc>
        <w:tc>
          <w:tcPr>
            <w:tcW w:w="530" w:type="dxa"/>
            <w:noWrap w:val="0"/>
            <w:vAlign w:val="center"/>
          </w:tcPr>
          <w:p>
            <w:pPr>
              <w:jc w:val="center"/>
              <w:rPr>
                <w:rFonts w:hint="eastAsia"/>
                <w:sz w:val="24"/>
                <w:szCs w:val="24"/>
              </w:rPr>
            </w:pPr>
          </w:p>
        </w:tc>
        <w:tc>
          <w:tcPr>
            <w:tcW w:w="885" w:type="dxa"/>
            <w:noWrap w:val="0"/>
            <w:vAlign w:val="center"/>
          </w:tcPr>
          <w:p>
            <w:pPr>
              <w:jc w:val="both"/>
              <w:rPr>
                <w:rFonts w:hint="eastAsia"/>
                <w:sz w:val="24"/>
                <w:szCs w:val="24"/>
              </w:rPr>
            </w:pPr>
          </w:p>
        </w:tc>
        <w:tc>
          <w:tcPr>
            <w:tcW w:w="1750" w:type="dxa"/>
            <w:noWrap w:val="0"/>
            <w:vAlign w:val="center"/>
          </w:tcPr>
          <w:p>
            <w:pPr>
              <w:jc w:val="both"/>
              <w:rPr>
                <w:rFonts w:hint="eastAsia"/>
                <w:sz w:val="24"/>
                <w:szCs w:val="24"/>
              </w:rPr>
            </w:pPr>
          </w:p>
        </w:tc>
        <w:tc>
          <w:tcPr>
            <w:tcW w:w="1620" w:type="dxa"/>
            <w:noWrap w:val="0"/>
            <w:vAlign w:val="center"/>
          </w:tcPr>
          <w:p>
            <w:pPr>
              <w:jc w:val="center"/>
              <w:rPr>
                <w:rFonts w:hint="eastAsia"/>
                <w:sz w:val="24"/>
                <w:szCs w:val="24"/>
              </w:rPr>
            </w:pPr>
          </w:p>
        </w:tc>
        <w:tc>
          <w:tcPr>
            <w:tcW w:w="675" w:type="dxa"/>
            <w:noWrap w:val="0"/>
            <w:vAlign w:val="center"/>
          </w:tcPr>
          <w:p>
            <w:pPr>
              <w:jc w:val="center"/>
              <w:rPr>
                <w:rFonts w:hint="eastAsia"/>
                <w:sz w:val="24"/>
                <w:szCs w:val="24"/>
              </w:rPr>
            </w:pPr>
            <w:r>
              <w:rPr>
                <w:rFonts w:hint="eastAsia" w:ascii="仿宋_GB2312" w:hAnsi="仿宋_GB2312" w:eastAsia="仿宋_GB2312" w:cs="仿宋_GB2312"/>
                <w:sz w:val="24"/>
                <w:szCs w:val="24"/>
              </w:rPr>
              <w:t>邮箱</w:t>
            </w:r>
          </w:p>
        </w:tc>
        <w:tc>
          <w:tcPr>
            <w:tcW w:w="2030"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w:t>
            </w:r>
          </w:p>
          <w:p>
            <w:pPr>
              <w:jc w:val="center"/>
              <w:rPr>
                <w:rFonts w:hint="eastAsia" w:ascii="仿宋_GB2312" w:hAnsi="仿宋_GB2312" w:eastAsia="仿宋_GB2312" w:cs="仿宋_GB2312"/>
                <w:sz w:val="24"/>
                <w:szCs w:val="24"/>
              </w:rPr>
            </w:pPr>
          </w:p>
          <w:p>
            <w:pPr>
              <w:jc w:val="center"/>
              <w:rPr>
                <w:rFonts w:hint="eastAsia"/>
                <w:sz w:val="24"/>
                <w:szCs w:val="24"/>
              </w:rPr>
            </w:pPr>
            <w:r>
              <w:rPr>
                <w:rFonts w:hint="eastAsia" w:ascii="仿宋_GB2312" w:hAnsi="仿宋_GB2312" w:eastAsia="仿宋_GB2312" w:cs="仿宋_GB2312"/>
                <w:sz w:val="24"/>
                <w:szCs w:val="24"/>
              </w:rPr>
              <w:t>师</w:t>
            </w:r>
          </w:p>
        </w:tc>
        <w:tc>
          <w:tcPr>
            <w:tcW w:w="1178" w:type="dxa"/>
            <w:noWrap w:val="0"/>
            <w:vAlign w:val="center"/>
          </w:tcPr>
          <w:p>
            <w:pPr>
              <w:jc w:val="center"/>
              <w:rPr>
                <w:rFonts w:hint="eastAsia" w:eastAsia="宋体"/>
                <w:sz w:val="24"/>
                <w:szCs w:val="24"/>
                <w:lang w:val="en-US" w:eastAsia="zh-CN"/>
              </w:rPr>
            </w:pPr>
          </w:p>
        </w:tc>
        <w:tc>
          <w:tcPr>
            <w:tcW w:w="530" w:type="dxa"/>
            <w:noWrap w:val="0"/>
            <w:vAlign w:val="center"/>
          </w:tcPr>
          <w:p>
            <w:pPr>
              <w:jc w:val="center"/>
              <w:rPr>
                <w:rFonts w:hint="eastAsia"/>
                <w:sz w:val="24"/>
                <w:szCs w:val="24"/>
              </w:rPr>
            </w:pPr>
          </w:p>
        </w:tc>
        <w:tc>
          <w:tcPr>
            <w:tcW w:w="885" w:type="dxa"/>
            <w:noWrap w:val="0"/>
            <w:vAlign w:val="center"/>
          </w:tcPr>
          <w:p>
            <w:pPr>
              <w:jc w:val="both"/>
              <w:rPr>
                <w:rFonts w:hint="eastAsia" w:eastAsia="宋体"/>
                <w:sz w:val="24"/>
                <w:szCs w:val="24"/>
                <w:lang w:val="en-US" w:eastAsia="zh-CN"/>
              </w:rPr>
            </w:pPr>
          </w:p>
        </w:tc>
        <w:tc>
          <w:tcPr>
            <w:tcW w:w="1750" w:type="dxa"/>
            <w:noWrap w:val="0"/>
            <w:vAlign w:val="center"/>
          </w:tcPr>
          <w:p>
            <w:pPr>
              <w:jc w:val="both"/>
              <w:rPr>
                <w:rFonts w:hint="eastAsia" w:eastAsia="宋体"/>
                <w:sz w:val="24"/>
                <w:szCs w:val="24"/>
                <w:lang w:val="en-US" w:eastAsia="zh-CN"/>
              </w:rPr>
            </w:pPr>
          </w:p>
        </w:tc>
        <w:tc>
          <w:tcPr>
            <w:tcW w:w="1620" w:type="dxa"/>
            <w:noWrap w:val="0"/>
            <w:vAlign w:val="center"/>
          </w:tcPr>
          <w:p>
            <w:pPr>
              <w:jc w:val="both"/>
              <w:rPr>
                <w:rFonts w:hint="eastAsia" w:eastAsia="宋体"/>
                <w:sz w:val="24"/>
                <w:szCs w:val="24"/>
                <w:lang w:val="en-US" w:eastAsia="zh-CN"/>
              </w:rPr>
            </w:pP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continue"/>
            <w:noWrap w:val="0"/>
            <w:vAlign w:val="center"/>
          </w:tcPr>
          <w:p>
            <w:pPr>
              <w:jc w:val="center"/>
              <w:rPr>
                <w:rFonts w:hint="eastAsia"/>
                <w:sz w:val="24"/>
                <w:szCs w:val="24"/>
              </w:rPr>
            </w:pPr>
          </w:p>
        </w:tc>
        <w:tc>
          <w:tcPr>
            <w:tcW w:w="1178" w:type="dxa"/>
            <w:noWrap w:val="0"/>
            <w:vAlign w:val="center"/>
          </w:tcPr>
          <w:p>
            <w:pPr>
              <w:jc w:val="both"/>
              <w:rPr>
                <w:rFonts w:hint="eastAsia" w:eastAsia="宋体"/>
                <w:sz w:val="24"/>
                <w:szCs w:val="24"/>
                <w:lang w:val="en-US" w:eastAsia="zh-CN"/>
              </w:rPr>
            </w:pPr>
          </w:p>
        </w:tc>
        <w:tc>
          <w:tcPr>
            <w:tcW w:w="530" w:type="dxa"/>
            <w:noWrap w:val="0"/>
            <w:vAlign w:val="center"/>
          </w:tcPr>
          <w:p>
            <w:pPr>
              <w:jc w:val="center"/>
              <w:rPr>
                <w:rFonts w:hint="eastAsia"/>
                <w:sz w:val="24"/>
                <w:szCs w:val="24"/>
              </w:rPr>
            </w:pPr>
          </w:p>
        </w:tc>
        <w:tc>
          <w:tcPr>
            <w:tcW w:w="885" w:type="dxa"/>
            <w:noWrap w:val="0"/>
            <w:vAlign w:val="center"/>
          </w:tcPr>
          <w:p>
            <w:pPr>
              <w:jc w:val="both"/>
              <w:rPr>
                <w:rFonts w:hint="eastAsia" w:eastAsia="宋体"/>
                <w:sz w:val="24"/>
                <w:szCs w:val="24"/>
                <w:lang w:val="en-US" w:eastAsia="zh-CN"/>
              </w:rPr>
            </w:pPr>
          </w:p>
        </w:tc>
        <w:tc>
          <w:tcPr>
            <w:tcW w:w="1750" w:type="dxa"/>
            <w:noWrap w:val="0"/>
            <w:vAlign w:val="center"/>
          </w:tcPr>
          <w:p>
            <w:pPr>
              <w:jc w:val="both"/>
              <w:rPr>
                <w:rFonts w:hint="eastAsia" w:eastAsia="宋体"/>
                <w:sz w:val="24"/>
                <w:szCs w:val="24"/>
                <w:lang w:val="en-US" w:eastAsia="zh-CN"/>
              </w:rPr>
            </w:pPr>
          </w:p>
        </w:tc>
        <w:tc>
          <w:tcPr>
            <w:tcW w:w="1620" w:type="dxa"/>
            <w:noWrap w:val="0"/>
            <w:vAlign w:val="center"/>
          </w:tcPr>
          <w:p>
            <w:pPr>
              <w:jc w:val="both"/>
              <w:rPr>
                <w:rFonts w:hint="eastAsia" w:eastAsia="宋体"/>
                <w:sz w:val="24"/>
                <w:szCs w:val="24"/>
                <w:lang w:val="en-US" w:eastAsia="zh-CN"/>
              </w:rPr>
            </w:pP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continue"/>
            <w:noWrap w:val="0"/>
            <w:vAlign w:val="center"/>
          </w:tcPr>
          <w:p>
            <w:pPr>
              <w:jc w:val="center"/>
              <w:rPr>
                <w:rFonts w:hint="eastAsia"/>
                <w:sz w:val="24"/>
                <w:szCs w:val="24"/>
              </w:rPr>
            </w:pPr>
          </w:p>
        </w:tc>
        <w:tc>
          <w:tcPr>
            <w:tcW w:w="1178" w:type="dxa"/>
            <w:noWrap w:val="0"/>
            <w:vAlign w:val="center"/>
          </w:tcPr>
          <w:p>
            <w:pPr>
              <w:jc w:val="both"/>
              <w:rPr>
                <w:rFonts w:hint="eastAsia"/>
                <w:sz w:val="24"/>
                <w:szCs w:val="24"/>
              </w:rPr>
            </w:pPr>
          </w:p>
        </w:tc>
        <w:tc>
          <w:tcPr>
            <w:tcW w:w="530" w:type="dxa"/>
            <w:noWrap w:val="0"/>
            <w:vAlign w:val="center"/>
          </w:tcPr>
          <w:p>
            <w:pPr>
              <w:jc w:val="center"/>
              <w:rPr>
                <w:rFonts w:hint="eastAsia"/>
                <w:sz w:val="24"/>
                <w:szCs w:val="24"/>
              </w:rPr>
            </w:pPr>
          </w:p>
        </w:tc>
        <w:tc>
          <w:tcPr>
            <w:tcW w:w="885" w:type="dxa"/>
            <w:noWrap w:val="0"/>
            <w:vAlign w:val="center"/>
          </w:tcPr>
          <w:p>
            <w:pPr>
              <w:jc w:val="both"/>
              <w:rPr>
                <w:rFonts w:hint="eastAsia"/>
                <w:sz w:val="24"/>
                <w:szCs w:val="24"/>
              </w:rPr>
            </w:pPr>
          </w:p>
        </w:tc>
        <w:tc>
          <w:tcPr>
            <w:tcW w:w="1750" w:type="dxa"/>
            <w:noWrap w:val="0"/>
            <w:vAlign w:val="center"/>
          </w:tcPr>
          <w:p>
            <w:pPr>
              <w:jc w:val="center"/>
              <w:rPr>
                <w:rFonts w:hint="eastAsia"/>
                <w:sz w:val="24"/>
                <w:szCs w:val="24"/>
              </w:rPr>
            </w:pPr>
          </w:p>
        </w:tc>
        <w:tc>
          <w:tcPr>
            <w:tcW w:w="1620" w:type="dxa"/>
            <w:noWrap w:val="0"/>
            <w:vAlign w:val="center"/>
          </w:tcPr>
          <w:p>
            <w:pPr>
              <w:jc w:val="both"/>
              <w:rPr>
                <w:rFonts w:hint="eastAsia"/>
                <w:sz w:val="24"/>
                <w:szCs w:val="24"/>
              </w:rPr>
            </w:pP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7" w:type="dxa"/>
            <w:vMerge w:val="continue"/>
            <w:noWrap w:val="0"/>
            <w:vAlign w:val="center"/>
          </w:tcPr>
          <w:p>
            <w:pPr>
              <w:jc w:val="center"/>
              <w:rPr>
                <w:rFonts w:hint="eastAsia"/>
                <w:sz w:val="24"/>
                <w:szCs w:val="24"/>
              </w:rPr>
            </w:pPr>
          </w:p>
        </w:tc>
        <w:tc>
          <w:tcPr>
            <w:tcW w:w="1178" w:type="dxa"/>
            <w:noWrap w:val="0"/>
            <w:vAlign w:val="center"/>
          </w:tcPr>
          <w:p>
            <w:pPr>
              <w:jc w:val="center"/>
              <w:rPr>
                <w:rFonts w:hint="eastAsia"/>
                <w:sz w:val="24"/>
                <w:szCs w:val="24"/>
              </w:rPr>
            </w:pPr>
          </w:p>
        </w:tc>
        <w:tc>
          <w:tcPr>
            <w:tcW w:w="530" w:type="dxa"/>
            <w:noWrap w:val="0"/>
            <w:vAlign w:val="center"/>
          </w:tcPr>
          <w:p>
            <w:pPr>
              <w:jc w:val="center"/>
              <w:rPr>
                <w:rFonts w:hint="eastAsia"/>
                <w:sz w:val="24"/>
                <w:szCs w:val="24"/>
              </w:rPr>
            </w:pPr>
          </w:p>
        </w:tc>
        <w:tc>
          <w:tcPr>
            <w:tcW w:w="885" w:type="dxa"/>
            <w:noWrap w:val="0"/>
            <w:vAlign w:val="center"/>
          </w:tcPr>
          <w:p>
            <w:pPr>
              <w:jc w:val="center"/>
              <w:rPr>
                <w:rFonts w:hint="eastAsia"/>
                <w:sz w:val="24"/>
                <w:szCs w:val="24"/>
              </w:rPr>
            </w:pPr>
          </w:p>
        </w:tc>
        <w:tc>
          <w:tcPr>
            <w:tcW w:w="1750" w:type="dxa"/>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p>
        </w:tc>
        <w:tc>
          <w:tcPr>
            <w:tcW w:w="2705"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77"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w:t>
            </w:r>
          </w:p>
          <w:p>
            <w:pPr>
              <w:jc w:val="center"/>
              <w:rPr>
                <w:rFonts w:hint="eastAsia" w:eastAsiaTheme="minorEastAsia"/>
                <w:sz w:val="24"/>
                <w:szCs w:val="24"/>
                <w:lang w:val="en-US" w:eastAsia="zh-CN"/>
              </w:rPr>
            </w:pPr>
            <w:r>
              <w:rPr>
                <w:rFonts w:hint="eastAsia" w:ascii="仿宋_GB2312" w:hAnsi="仿宋_GB2312" w:eastAsia="仿宋_GB2312" w:cs="仿宋_GB2312"/>
                <w:sz w:val="24"/>
                <w:szCs w:val="24"/>
                <w:lang w:val="en-US" w:eastAsia="zh-CN"/>
              </w:rPr>
              <w:t>发言</w:t>
            </w:r>
          </w:p>
        </w:tc>
        <w:tc>
          <w:tcPr>
            <w:tcW w:w="8668" w:type="dxa"/>
            <w:gridSpan w:val="7"/>
            <w:noWrap w:val="0"/>
            <w:vAlign w:val="center"/>
          </w:tcPr>
          <w:p>
            <w:pPr>
              <w:rPr>
                <w:rFonts w:hint="eastAsia" w:ascii="仿宋_GB2312" w:eastAsia="仿宋_GB2312" w:cs="仿宋_GB2312"/>
                <w:sz w:val="24"/>
                <w:lang w:val="en-US" w:eastAsia="zh-CN"/>
              </w:rPr>
            </w:pPr>
            <w:r>
              <w:rPr>
                <w:rFonts w:hint="eastAsia" w:ascii="仿宋_GB2312" w:eastAsia="仿宋_GB2312" w:cs="仿宋_GB2312"/>
                <w:sz w:val="24"/>
                <w:lang w:val="en-US" w:eastAsia="zh-CN"/>
              </w:rPr>
              <w:t xml:space="preserve">    </w:t>
            </w:r>
          </w:p>
          <w:p>
            <w:pPr>
              <w:rPr>
                <w:rFonts w:hint="default" w:ascii="Arial" w:hAnsi="Arial" w:eastAsia="仿宋_GB2312" w:cs="Arial"/>
                <w:sz w:val="24"/>
                <w:lang w:val="en-US" w:eastAsia="zh-CN"/>
              </w:rPr>
            </w:pP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参加</w:t>
            </w:r>
            <w:r>
              <w:rPr>
                <w:rFonts w:hint="default" w:ascii="Arial" w:hAnsi="Arial" w:eastAsia="仿宋_GB2312" w:cs="Arial"/>
                <w:sz w:val="24"/>
                <w:lang w:val="en-US" w:eastAsia="zh-CN"/>
              </w:rPr>
              <w:t>√</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77"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是否参加评选表彰</w:t>
            </w:r>
          </w:p>
        </w:tc>
        <w:tc>
          <w:tcPr>
            <w:tcW w:w="8668" w:type="dxa"/>
            <w:gridSpan w:val="7"/>
            <w:noWrap w:val="0"/>
            <w:vAlign w:val="center"/>
          </w:tcPr>
          <w:p>
            <w:pPr>
              <w:rPr>
                <w:rFonts w:hint="default" w:ascii="Arial" w:hAnsi="Arial" w:eastAsia="仿宋_GB2312" w:cs="Arial"/>
                <w:sz w:val="24"/>
                <w:lang w:val="en-US" w:eastAsia="zh-CN"/>
              </w:rPr>
            </w:pPr>
            <w:r>
              <w:rPr>
                <w:rFonts w:hint="eastAsia" w:ascii="仿宋_GB2312" w:eastAsia="仿宋_GB2312" w:cs="仿宋_GB2312"/>
                <w:sz w:val="24"/>
                <w:lang w:eastAsia="zh-CN"/>
              </w:rPr>
              <w:t>先进单位</w:t>
            </w:r>
            <w:r>
              <w:rPr>
                <w:rFonts w:hint="eastAsia" w:ascii="仿宋_GB2312" w:eastAsia="仿宋_GB2312" w:cs="仿宋_GB2312"/>
                <w:sz w:val="24"/>
                <w:lang w:val="en-US" w:eastAsia="zh-CN"/>
              </w:rPr>
              <w:t xml:space="preserve">  先进个人  论文  教学设计   优质课           参加</w:t>
            </w:r>
            <w:r>
              <w:rPr>
                <w:rFonts w:hint="default" w:ascii="Arial" w:hAnsi="Arial" w:eastAsia="仿宋_GB2312" w:cs="Arial"/>
                <w:sz w:val="24"/>
                <w:lang w:val="en-US" w:eastAsia="zh-CN"/>
              </w:rPr>
              <w:t>√</w:t>
            </w:r>
          </w:p>
          <w:p>
            <w:pPr>
              <w:rPr>
                <w:rFonts w:hint="default" w:ascii="Arial" w:hAnsi="Arial" w:eastAsia="仿宋_GB2312" w:cs="Arial"/>
                <w:sz w:val="24"/>
                <w:lang w:val="en-US" w:eastAsia="zh-CN"/>
              </w:rPr>
            </w:pP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r>
              <w:rPr>
                <w:rFonts w:hint="eastAsia" w:ascii="仿宋_GB2312" w:eastAsia="仿宋_GB2312" w:cs="仿宋_GB2312"/>
                <w:sz w:val="24"/>
                <w:lang w:val="en-US" w:eastAsia="zh-CN"/>
              </w:rPr>
              <w:t xml:space="preserve">  </w:t>
            </w:r>
            <w:r>
              <w:rPr>
                <w:rFonts w:hint="eastAsia" w:asci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7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汇款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w:t>
            </w:r>
          </w:p>
        </w:tc>
        <w:tc>
          <w:tcPr>
            <w:tcW w:w="8668" w:type="dxa"/>
            <w:gridSpan w:val="7"/>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开户银行：中国工商银行北京房山支行良乡分理处</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帐户名称：北京成长智慧教育科技有限公司  </w:t>
            </w:r>
          </w:p>
          <w:p>
            <w:pPr>
              <w:rPr>
                <w:rFonts w:hint="eastAsia" w:ascii="仿宋_GB2312" w:eastAsia="仿宋_GB2312" w:cs="仿宋_GB2312"/>
                <w:sz w:val="24"/>
              </w:rPr>
            </w:pPr>
            <w:r>
              <w:rPr>
                <w:rFonts w:hint="eastAsia" w:ascii="仿宋_GB2312" w:hAnsi="仿宋_GB2312" w:eastAsia="仿宋_GB2312" w:cs="仿宋_GB2312"/>
                <w:sz w:val="24"/>
              </w:rPr>
              <w:t xml:space="preserve">帐    号：0200 3169 0920 0012 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7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w:t>
            </w:r>
          </w:p>
          <w:p>
            <w:pPr>
              <w:jc w:val="center"/>
              <w:rPr>
                <w:rFonts w:hint="eastAsia"/>
                <w:sz w:val="24"/>
                <w:szCs w:val="24"/>
              </w:rPr>
            </w:pPr>
            <w:r>
              <w:rPr>
                <w:rFonts w:hint="eastAsia" w:ascii="仿宋_GB2312" w:hAnsi="仿宋_GB2312" w:eastAsia="仿宋_GB2312" w:cs="仿宋_GB2312"/>
                <w:sz w:val="24"/>
                <w:szCs w:val="24"/>
              </w:rPr>
              <w:t>要求</w:t>
            </w:r>
          </w:p>
        </w:tc>
        <w:tc>
          <w:tcPr>
            <w:tcW w:w="8668" w:type="dxa"/>
            <w:gridSpan w:val="7"/>
            <w:noWrap w:val="0"/>
            <w:vAlign w:val="center"/>
          </w:tcPr>
          <w:p>
            <w:pPr>
              <w:spacing w:line="360" w:lineRule="auto"/>
              <w:rPr>
                <w:rFonts w:hint="eastAsia" w:ascii="仿宋_GB2312" w:eastAsia="仿宋_GB2312" w:cs="仿宋_GB2312"/>
                <w:sz w:val="24"/>
                <w:lang w:val="en-US" w:eastAsia="zh-CN"/>
              </w:rPr>
            </w:pPr>
            <w:r>
              <w:rPr>
                <w:rFonts w:hint="eastAsia" w:ascii="仿宋_GB2312" w:eastAsia="仿宋_GB2312" w:cs="仿宋_GB2312"/>
                <w:sz w:val="24"/>
              </w:rPr>
              <w:t>会议地点：</w:t>
            </w:r>
            <w:r>
              <w:rPr>
                <w:rFonts w:hint="eastAsia" w:ascii="仿宋_GB2312" w:eastAsia="仿宋_GB2312" w:cs="仿宋_GB2312"/>
                <w:sz w:val="24"/>
                <w:lang w:eastAsia="zh-CN"/>
              </w:rPr>
              <w:t>桂林市广西师大附中</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w:t>
            </w:r>
            <w:r>
              <w:rPr>
                <w:rFonts w:hint="eastAsia" w:ascii="仿宋_GB2312" w:eastAsia="仿宋_GB2312" w:cs="仿宋_GB2312"/>
                <w:sz w:val="24"/>
                <w:lang w:val="en-US" w:eastAsia="zh-CN"/>
              </w:rPr>
              <w:t xml:space="preserve">  </w:t>
            </w:r>
            <w:r>
              <w:rPr>
                <w:rFonts w:hint="eastAsia" w:ascii="仿宋_GB2312" w:eastAsia="仿宋_GB2312" w:cs="仿宋_GB2312"/>
                <w:sz w:val="24"/>
              </w:rPr>
              <w:t>天数</w:t>
            </w:r>
            <w:r>
              <w:rPr>
                <w:rFonts w:ascii="仿宋_GB2312" w:eastAsia="仿宋_GB2312" w:cs="仿宋_GB2312"/>
                <w:sz w:val="24"/>
                <w:u w:val="single"/>
              </w:rPr>
              <w:t xml:space="preserve">         </w:t>
            </w:r>
          </w:p>
          <w:p>
            <w:pPr>
              <w:jc w:val="center"/>
              <w:rPr>
                <w:rFonts w:hint="eastAsia"/>
                <w:sz w:val="24"/>
                <w:szCs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7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jc w:val="center"/>
              <w:rPr>
                <w:rFonts w:hint="eastAsia"/>
                <w:sz w:val="24"/>
                <w:szCs w:val="24"/>
              </w:rPr>
            </w:pPr>
            <w:r>
              <w:rPr>
                <w:rFonts w:hint="eastAsia" w:ascii="仿宋_GB2312" w:hAnsi="仿宋_GB2312" w:eastAsia="仿宋_GB2312" w:cs="仿宋_GB2312"/>
                <w:sz w:val="24"/>
                <w:szCs w:val="24"/>
              </w:rPr>
              <w:t>意见</w:t>
            </w:r>
          </w:p>
        </w:tc>
        <w:tc>
          <w:tcPr>
            <w:tcW w:w="8668" w:type="dxa"/>
            <w:gridSpan w:val="7"/>
            <w:noWrap w:val="0"/>
            <w:vAlign w:val="center"/>
          </w:tcPr>
          <w:p>
            <w:pPr>
              <w:jc w:val="left"/>
              <w:rPr>
                <w:rFonts w:hint="eastAsia" w:ascii="仿宋_GB2312" w:eastAsia="仿宋_GB2312" w:cs="仿宋_GB2312"/>
                <w:sz w:val="24"/>
                <w:szCs w:val="22"/>
              </w:rPr>
            </w:pPr>
            <w:r>
              <w:rPr>
                <w:rFonts w:hint="eastAsia" w:ascii="仿宋_GB2312" w:hAnsi="仿宋_GB2312" w:eastAsia="仿宋_GB2312" w:cs="仿宋_GB2312"/>
                <w:szCs w:val="21"/>
              </w:rPr>
              <w:t xml:space="preserve">    </w:t>
            </w:r>
            <w:r>
              <w:rPr>
                <w:rFonts w:hint="eastAsia" w:ascii="仿宋_GB2312" w:eastAsia="仿宋_GB2312" w:cs="仿宋_GB2312"/>
                <w:sz w:val="24"/>
              </w:rPr>
              <w:t xml:space="preserve">我单位同意选派以上老师参加 </w:t>
            </w:r>
            <w:r>
              <w:rPr>
                <w:rFonts w:hint="eastAsia" w:ascii="仿宋_GB2312" w:eastAsia="仿宋_GB2312" w:cs="仿宋_GB2312"/>
                <w:sz w:val="24"/>
                <w:lang w:val="en-US" w:eastAsia="zh-CN"/>
              </w:rPr>
              <w:t>12</w:t>
            </w:r>
            <w:r>
              <w:rPr>
                <w:rFonts w:hint="eastAsia" w:ascii="仿宋_GB2312" w:eastAsia="仿宋_GB2312" w:cs="仿宋_GB2312"/>
                <w:sz w:val="24"/>
              </w:rPr>
              <w:t>月</w:t>
            </w:r>
            <w:r>
              <w:rPr>
                <w:rFonts w:hint="eastAsia" w:ascii="仿宋_GB2312" w:eastAsia="仿宋_GB2312" w:cs="仿宋_GB2312"/>
                <w:sz w:val="24"/>
                <w:lang w:val="en-US" w:eastAsia="zh-CN"/>
              </w:rPr>
              <w:t>8</w:t>
            </w:r>
            <w:r>
              <w:rPr>
                <w:rFonts w:hint="eastAsia" w:ascii="仿宋_GB2312" w:eastAsia="仿宋_GB2312" w:cs="仿宋_GB2312"/>
                <w:sz w:val="24"/>
              </w:rPr>
              <w:t>日</w:t>
            </w:r>
            <w:r>
              <w:rPr>
                <w:rFonts w:hint="eastAsia" w:ascii="仿宋_GB2312" w:eastAsia="仿宋_GB2312" w:cs="仿宋_GB2312"/>
                <w:sz w:val="24"/>
                <w:szCs w:val="22"/>
              </w:rPr>
              <w:t>“</w:t>
            </w:r>
            <w:r>
              <w:rPr>
                <w:rFonts w:hint="eastAsia" w:ascii="仿宋_GB2312" w:eastAsia="仿宋_GB2312" w:cs="仿宋_GB2312"/>
                <w:sz w:val="24"/>
                <w:szCs w:val="22"/>
                <w:lang w:eastAsia="zh-CN"/>
              </w:rPr>
              <w:t>第三届</w:t>
            </w:r>
            <w:r>
              <w:rPr>
                <w:rFonts w:hint="eastAsia" w:ascii="仿宋_GB2312" w:eastAsia="仿宋_GB2312" w:cs="仿宋_GB2312"/>
                <w:sz w:val="24"/>
              </w:rPr>
              <w:t>全国中学生涯规划教育学术年会</w:t>
            </w:r>
            <w:r>
              <w:rPr>
                <w:rFonts w:hint="eastAsia" w:ascii="仿宋_GB2312" w:eastAsia="仿宋_GB2312" w:cs="仿宋_GB2312"/>
                <w:sz w:val="24"/>
                <w:szCs w:val="22"/>
              </w:rPr>
              <w:t>”</w:t>
            </w:r>
            <w:r>
              <w:rPr>
                <w:rFonts w:hint="eastAsia" w:ascii="仿宋_GB2312" w:eastAsia="仿宋_GB2312" w:cs="仿宋_GB2312"/>
                <w:sz w:val="24"/>
                <w:szCs w:val="22"/>
                <w:lang w:eastAsia="zh-CN"/>
              </w:rPr>
              <w:t>活动</w:t>
            </w:r>
            <w:r>
              <w:rPr>
                <w:rFonts w:hint="eastAsia" w:ascii="仿宋_GB2312" w:eastAsia="仿宋_GB2312" w:cs="仿宋_GB2312"/>
                <w:sz w:val="24"/>
                <w:szCs w:val="22"/>
              </w:rPr>
              <w:t>。</w:t>
            </w:r>
          </w:p>
          <w:p>
            <w:pPr>
              <w:jc w:val="left"/>
              <w:rPr>
                <w:rFonts w:hint="eastAsia"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单位盖章</w:t>
            </w:r>
          </w:p>
          <w:p>
            <w:pPr>
              <w:jc w:val="left"/>
              <w:rPr>
                <w:rFonts w:hint="eastAsia" w:ascii="仿宋_GB2312" w:eastAsia="仿宋_GB2312" w:cs="仿宋_GB2312"/>
                <w:sz w:val="24"/>
              </w:rPr>
            </w:pPr>
          </w:p>
          <w:p>
            <w:pPr>
              <w:jc w:val="right"/>
              <w:rPr>
                <w:rFonts w:hint="eastAsia"/>
                <w:szCs w:val="21"/>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2023</w:t>
            </w:r>
            <w:r>
              <w:rPr>
                <w:rFonts w:hint="eastAsia" w:ascii="仿宋_GB2312" w:eastAsia="仿宋_GB2312" w:cs="仿宋_GB2312"/>
                <w:sz w:val="24"/>
              </w:rPr>
              <w:t xml:space="preserve"> 年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月 </w:t>
            </w: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日     </w:t>
            </w:r>
            <w:r>
              <w:rPr>
                <w:rFonts w:hint="eastAsia"/>
                <w:szCs w:val="21"/>
              </w:rPr>
              <w:t xml:space="preserve">        </w:t>
            </w:r>
          </w:p>
        </w:tc>
      </w:tr>
    </w:tbl>
    <w:p>
      <w:pPr>
        <w:numPr>
          <w:ilvl w:val="0"/>
          <w:numId w:val="0"/>
        </w:numPr>
        <w:spacing w:line="240" w:lineRule="auto"/>
        <w:jc w:val="left"/>
        <w:rPr>
          <w:rFonts w:hint="eastAsia" w:ascii="仿宋_GB2312" w:hAnsi="仿宋_GB2312" w:eastAsia="仿宋_GB2312" w:cs="仿宋_GB2312"/>
          <w:color w:val="auto"/>
          <w:sz w:val="24"/>
          <w:szCs w:val="24"/>
          <w:lang w:val="en-US" w:eastAsia="zh-CN"/>
        </w:rPr>
      </w:pPr>
    </w:p>
    <w:sectPr>
      <w:pgSz w:w="11906" w:h="16838"/>
      <w:pgMar w:top="141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TBiYTMxYTE0OTUzODgzZmVlZDg5ODEyZGE1ZGYifQ=="/>
  </w:docVars>
  <w:rsids>
    <w:rsidRoot w:val="00000000"/>
    <w:rsid w:val="0245313C"/>
    <w:rsid w:val="02B40A59"/>
    <w:rsid w:val="04446AF6"/>
    <w:rsid w:val="04B82DC1"/>
    <w:rsid w:val="05E470DE"/>
    <w:rsid w:val="070245E1"/>
    <w:rsid w:val="07516A6D"/>
    <w:rsid w:val="085B4FA4"/>
    <w:rsid w:val="08A512C1"/>
    <w:rsid w:val="08BF5775"/>
    <w:rsid w:val="096864F2"/>
    <w:rsid w:val="09800982"/>
    <w:rsid w:val="09962C61"/>
    <w:rsid w:val="09E87BD3"/>
    <w:rsid w:val="0A336810"/>
    <w:rsid w:val="0A892BC4"/>
    <w:rsid w:val="0B445268"/>
    <w:rsid w:val="0CDF6975"/>
    <w:rsid w:val="0CFE2CC9"/>
    <w:rsid w:val="0DB37F58"/>
    <w:rsid w:val="0DE217C8"/>
    <w:rsid w:val="0F412249"/>
    <w:rsid w:val="102F0D83"/>
    <w:rsid w:val="11987B90"/>
    <w:rsid w:val="11E132E5"/>
    <w:rsid w:val="124473D0"/>
    <w:rsid w:val="126807A8"/>
    <w:rsid w:val="13A42564"/>
    <w:rsid w:val="14584127"/>
    <w:rsid w:val="15AC1886"/>
    <w:rsid w:val="17006554"/>
    <w:rsid w:val="17A74689"/>
    <w:rsid w:val="17C214C3"/>
    <w:rsid w:val="17E870BE"/>
    <w:rsid w:val="18663ECC"/>
    <w:rsid w:val="18AE3994"/>
    <w:rsid w:val="18D92F68"/>
    <w:rsid w:val="190A0BBC"/>
    <w:rsid w:val="19D07778"/>
    <w:rsid w:val="1C5B1EE6"/>
    <w:rsid w:val="1C6A7033"/>
    <w:rsid w:val="1E2160DE"/>
    <w:rsid w:val="1F3D1565"/>
    <w:rsid w:val="20B017A9"/>
    <w:rsid w:val="210C227C"/>
    <w:rsid w:val="215A2CBF"/>
    <w:rsid w:val="222062CF"/>
    <w:rsid w:val="22292692"/>
    <w:rsid w:val="226605E1"/>
    <w:rsid w:val="22F01E07"/>
    <w:rsid w:val="23B256D5"/>
    <w:rsid w:val="249E0194"/>
    <w:rsid w:val="25392028"/>
    <w:rsid w:val="253928DA"/>
    <w:rsid w:val="254035B2"/>
    <w:rsid w:val="257162D7"/>
    <w:rsid w:val="2630221A"/>
    <w:rsid w:val="264A3FDE"/>
    <w:rsid w:val="26791411"/>
    <w:rsid w:val="28915218"/>
    <w:rsid w:val="28A11734"/>
    <w:rsid w:val="28A702A1"/>
    <w:rsid w:val="2AB329E7"/>
    <w:rsid w:val="2B065713"/>
    <w:rsid w:val="2B5A6969"/>
    <w:rsid w:val="2BA016C4"/>
    <w:rsid w:val="2C882884"/>
    <w:rsid w:val="2E5F2419"/>
    <w:rsid w:val="2F4F1D38"/>
    <w:rsid w:val="2F6B3EA5"/>
    <w:rsid w:val="2FF75B59"/>
    <w:rsid w:val="30E67C8D"/>
    <w:rsid w:val="31912648"/>
    <w:rsid w:val="33074E47"/>
    <w:rsid w:val="33696329"/>
    <w:rsid w:val="340C4936"/>
    <w:rsid w:val="343B642D"/>
    <w:rsid w:val="367C1F0B"/>
    <w:rsid w:val="376B18CE"/>
    <w:rsid w:val="376D3BF8"/>
    <w:rsid w:val="390E14B8"/>
    <w:rsid w:val="3A5C2C92"/>
    <w:rsid w:val="3C2978D5"/>
    <w:rsid w:val="3C787F51"/>
    <w:rsid w:val="3CA07AC5"/>
    <w:rsid w:val="3D346110"/>
    <w:rsid w:val="3DA3710F"/>
    <w:rsid w:val="3E0B1BCA"/>
    <w:rsid w:val="3EBC4654"/>
    <w:rsid w:val="3FB938FF"/>
    <w:rsid w:val="40A50BDE"/>
    <w:rsid w:val="4244426C"/>
    <w:rsid w:val="43F95D9C"/>
    <w:rsid w:val="44494453"/>
    <w:rsid w:val="44DB2BB2"/>
    <w:rsid w:val="44F002B3"/>
    <w:rsid w:val="453D5786"/>
    <w:rsid w:val="453E093C"/>
    <w:rsid w:val="46EF5DFC"/>
    <w:rsid w:val="472129D4"/>
    <w:rsid w:val="47482477"/>
    <w:rsid w:val="493B6192"/>
    <w:rsid w:val="4A283023"/>
    <w:rsid w:val="4B6162A3"/>
    <w:rsid w:val="4C13217B"/>
    <w:rsid w:val="4DAF62DD"/>
    <w:rsid w:val="4E5A49DD"/>
    <w:rsid w:val="4EBB74B2"/>
    <w:rsid w:val="501F3D61"/>
    <w:rsid w:val="50571444"/>
    <w:rsid w:val="51C9741A"/>
    <w:rsid w:val="51E01A90"/>
    <w:rsid w:val="52215EE0"/>
    <w:rsid w:val="52972D2F"/>
    <w:rsid w:val="53B62214"/>
    <w:rsid w:val="54482775"/>
    <w:rsid w:val="569A6947"/>
    <w:rsid w:val="57E82245"/>
    <w:rsid w:val="58A92BC4"/>
    <w:rsid w:val="58D2575F"/>
    <w:rsid w:val="58E373EE"/>
    <w:rsid w:val="58F858F3"/>
    <w:rsid w:val="594554D5"/>
    <w:rsid w:val="59E6022A"/>
    <w:rsid w:val="59EF06B3"/>
    <w:rsid w:val="5A794003"/>
    <w:rsid w:val="5B8A0C0A"/>
    <w:rsid w:val="5C340607"/>
    <w:rsid w:val="5D125216"/>
    <w:rsid w:val="5D2D114E"/>
    <w:rsid w:val="5DA23EED"/>
    <w:rsid w:val="5E196CBA"/>
    <w:rsid w:val="5E257683"/>
    <w:rsid w:val="5EC465E1"/>
    <w:rsid w:val="5FAE5456"/>
    <w:rsid w:val="5FC55588"/>
    <w:rsid w:val="60096A00"/>
    <w:rsid w:val="62C35B09"/>
    <w:rsid w:val="62EE06A8"/>
    <w:rsid w:val="632508B8"/>
    <w:rsid w:val="63F53C4A"/>
    <w:rsid w:val="66B75E3C"/>
    <w:rsid w:val="67187025"/>
    <w:rsid w:val="67A26B47"/>
    <w:rsid w:val="688F1A40"/>
    <w:rsid w:val="68FD35CE"/>
    <w:rsid w:val="69E81CDF"/>
    <w:rsid w:val="6A29382A"/>
    <w:rsid w:val="6A8D2838"/>
    <w:rsid w:val="6B4E2D3E"/>
    <w:rsid w:val="6B86699F"/>
    <w:rsid w:val="6C1235C6"/>
    <w:rsid w:val="6C7A5DA3"/>
    <w:rsid w:val="6CCF5389"/>
    <w:rsid w:val="6DE74955"/>
    <w:rsid w:val="6E5274DB"/>
    <w:rsid w:val="6F5F7A25"/>
    <w:rsid w:val="71552E50"/>
    <w:rsid w:val="71AC57E3"/>
    <w:rsid w:val="74510D7A"/>
    <w:rsid w:val="75201910"/>
    <w:rsid w:val="75A96048"/>
    <w:rsid w:val="774848C4"/>
    <w:rsid w:val="781D7CE4"/>
    <w:rsid w:val="78445778"/>
    <w:rsid w:val="789B75E2"/>
    <w:rsid w:val="78A36F47"/>
    <w:rsid w:val="78C7405E"/>
    <w:rsid w:val="79B6219E"/>
    <w:rsid w:val="7B8D6BCE"/>
    <w:rsid w:val="7C463B0F"/>
    <w:rsid w:val="7C7B1311"/>
    <w:rsid w:val="7D3703A2"/>
    <w:rsid w:val="7E2272E3"/>
    <w:rsid w:val="7E332421"/>
    <w:rsid w:val="7E5F5D15"/>
    <w:rsid w:val="7E7E6C0F"/>
    <w:rsid w:val="7EB573DF"/>
    <w:rsid w:val="7FAF2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7250</Words>
  <Characters>7488</Characters>
  <Lines>0</Lines>
  <Paragraphs>0</Paragraphs>
  <TotalTime>1</TotalTime>
  <ScaleCrop>false</ScaleCrop>
  <LinksUpToDate>false</LinksUpToDate>
  <CharactersWithSpaces>7808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好好沺沺</cp:lastModifiedBy>
  <dcterms:modified xsi:type="dcterms:W3CDTF">2023-10-31T09:45:02Z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FF1ACEC871FE4D3FAFF7AEE33F5C3013_13</vt:lpwstr>
  </property>
</Properties>
</file>